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6A4B" w14:textId="16894975" w:rsidR="00FF10B6" w:rsidRDefault="00C97E5E" w:rsidP="00A014A8">
      <w:pPr>
        <w:pStyle w:val="Title"/>
      </w:pPr>
      <w:r w:rsidRPr="006A1F51">
        <w:t xml:space="preserve">PSIRF </w:t>
      </w:r>
      <w:r w:rsidR="007C687A">
        <w:t xml:space="preserve">planning </w:t>
      </w:r>
      <w:r w:rsidRPr="006A1F51">
        <w:t>– Pressure ulcer example</w:t>
      </w:r>
      <w:r w:rsidR="007C687A">
        <w:t xml:space="preserve"> </w:t>
      </w:r>
      <w:r w:rsidR="00DB7BC0" w:rsidRPr="006A1F51">
        <w:t>scenario</w:t>
      </w:r>
    </w:p>
    <w:p w14:paraId="10C4F0AA" w14:textId="77777777" w:rsidR="00C74B4B" w:rsidRPr="00C74B4B" w:rsidRDefault="00C74B4B" w:rsidP="00C74B4B"/>
    <w:sdt>
      <w:sdtPr>
        <w:rPr>
          <w:rFonts w:ascii="Arial" w:eastAsiaTheme="minorHAnsi" w:hAnsi="Arial" w:cstheme="minorBidi"/>
          <w:color w:val="auto"/>
          <w:sz w:val="22"/>
          <w:szCs w:val="22"/>
          <w:lang w:val="en-GB"/>
        </w:rPr>
        <w:id w:val="753942282"/>
        <w:docPartObj>
          <w:docPartGallery w:val="Table of Contents"/>
          <w:docPartUnique/>
        </w:docPartObj>
      </w:sdtPr>
      <w:sdtEndPr>
        <w:rPr>
          <w:b/>
          <w:bCs/>
          <w:noProof/>
        </w:rPr>
      </w:sdtEndPr>
      <w:sdtContent>
        <w:p w14:paraId="19D44407" w14:textId="1A602816" w:rsidR="0046747F" w:rsidRPr="00EB68D5" w:rsidRDefault="0046747F">
          <w:pPr>
            <w:pStyle w:val="TOCHeading"/>
            <w:rPr>
              <w:rFonts w:ascii="Arial" w:hAnsi="Arial" w:cs="Arial"/>
            </w:rPr>
          </w:pPr>
          <w:r w:rsidRPr="00EB68D5">
            <w:rPr>
              <w:rFonts w:ascii="Arial" w:hAnsi="Arial" w:cs="Arial"/>
            </w:rPr>
            <w:t>Contents</w:t>
          </w:r>
        </w:p>
        <w:p w14:paraId="2A738172" w14:textId="1AFCEE9F" w:rsidR="008A14D1" w:rsidRDefault="0046747F">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8274727" w:history="1">
            <w:r w:rsidR="008A14D1" w:rsidRPr="00C66D22">
              <w:rPr>
                <w:rStyle w:val="Hyperlink"/>
                <w:noProof/>
              </w:rPr>
              <w:t>Introduction</w:t>
            </w:r>
            <w:r w:rsidR="008A14D1">
              <w:rPr>
                <w:noProof/>
                <w:webHidden/>
              </w:rPr>
              <w:tab/>
            </w:r>
            <w:r w:rsidR="008A14D1">
              <w:rPr>
                <w:noProof/>
                <w:webHidden/>
              </w:rPr>
              <w:fldChar w:fldCharType="begin"/>
            </w:r>
            <w:r w:rsidR="008A14D1">
              <w:rPr>
                <w:noProof/>
                <w:webHidden/>
              </w:rPr>
              <w:instrText xml:space="preserve"> PAGEREF _Toc118274727 \h </w:instrText>
            </w:r>
            <w:r w:rsidR="008A14D1">
              <w:rPr>
                <w:noProof/>
                <w:webHidden/>
              </w:rPr>
            </w:r>
            <w:r w:rsidR="008A14D1">
              <w:rPr>
                <w:noProof/>
                <w:webHidden/>
              </w:rPr>
              <w:fldChar w:fldCharType="separate"/>
            </w:r>
            <w:r w:rsidR="008A14D1">
              <w:rPr>
                <w:noProof/>
                <w:webHidden/>
              </w:rPr>
              <w:t>2</w:t>
            </w:r>
            <w:r w:rsidR="008A14D1">
              <w:rPr>
                <w:noProof/>
                <w:webHidden/>
              </w:rPr>
              <w:fldChar w:fldCharType="end"/>
            </w:r>
          </w:hyperlink>
        </w:p>
        <w:p w14:paraId="2C39C49D" w14:textId="3C1BEAB4" w:rsidR="008A14D1" w:rsidRDefault="00000000">
          <w:pPr>
            <w:pStyle w:val="TOC1"/>
            <w:tabs>
              <w:tab w:val="right" w:leader="dot" w:pos="9016"/>
            </w:tabs>
            <w:rPr>
              <w:rFonts w:asciiTheme="minorHAnsi" w:eastAsiaTheme="minorEastAsia" w:hAnsiTheme="minorHAnsi"/>
              <w:noProof/>
              <w:lang w:eastAsia="en-GB"/>
            </w:rPr>
          </w:pPr>
          <w:hyperlink w:anchor="_Toc118274728" w:history="1">
            <w:r w:rsidR="008A14D1" w:rsidRPr="00C66D22">
              <w:rPr>
                <w:rStyle w:val="Hyperlink"/>
                <w:noProof/>
              </w:rPr>
              <w:t>Developing the patient safety incident response plan</w:t>
            </w:r>
            <w:r w:rsidR="008A14D1">
              <w:rPr>
                <w:noProof/>
                <w:webHidden/>
              </w:rPr>
              <w:tab/>
            </w:r>
            <w:r w:rsidR="008A14D1">
              <w:rPr>
                <w:noProof/>
                <w:webHidden/>
              </w:rPr>
              <w:fldChar w:fldCharType="begin"/>
            </w:r>
            <w:r w:rsidR="008A14D1">
              <w:rPr>
                <w:noProof/>
                <w:webHidden/>
              </w:rPr>
              <w:instrText xml:space="preserve"> PAGEREF _Toc118274728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3F38787A" w14:textId="7F4F4087" w:rsidR="008A14D1" w:rsidRDefault="00000000">
          <w:pPr>
            <w:pStyle w:val="TOC2"/>
            <w:tabs>
              <w:tab w:val="left" w:pos="660"/>
              <w:tab w:val="right" w:leader="dot" w:pos="9016"/>
            </w:tabs>
            <w:rPr>
              <w:rFonts w:asciiTheme="minorHAnsi" w:eastAsiaTheme="minorEastAsia" w:hAnsiTheme="minorHAnsi"/>
              <w:noProof/>
              <w:lang w:eastAsia="en-GB"/>
            </w:rPr>
          </w:pPr>
          <w:hyperlink w:anchor="_Toc118274729" w:history="1">
            <w:r w:rsidR="008A14D1" w:rsidRPr="00C66D22">
              <w:rPr>
                <w:rStyle w:val="Hyperlink"/>
                <w:noProof/>
              </w:rPr>
              <w:t>1)</w:t>
            </w:r>
            <w:r w:rsidR="008A14D1">
              <w:rPr>
                <w:rFonts w:asciiTheme="minorHAnsi" w:eastAsiaTheme="minorEastAsia" w:hAnsiTheme="minorHAnsi"/>
                <w:noProof/>
                <w:lang w:eastAsia="en-GB"/>
              </w:rPr>
              <w:tab/>
            </w:r>
            <w:r w:rsidR="008A14D1" w:rsidRPr="00C66D22">
              <w:rPr>
                <w:rStyle w:val="Hyperlink"/>
                <w:noProof/>
              </w:rPr>
              <w:t>Understand capacity</w:t>
            </w:r>
            <w:r w:rsidR="008A14D1">
              <w:rPr>
                <w:noProof/>
                <w:webHidden/>
              </w:rPr>
              <w:tab/>
            </w:r>
            <w:r w:rsidR="008A14D1">
              <w:rPr>
                <w:noProof/>
                <w:webHidden/>
              </w:rPr>
              <w:fldChar w:fldCharType="begin"/>
            </w:r>
            <w:r w:rsidR="008A14D1">
              <w:rPr>
                <w:noProof/>
                <w:webHidden/>
              </w:rPr>
              <w:instrText xml:space="preserve"> PAGEREF _Toc118274729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7472B80F" w14:textId="3509107A" w:rsidR="008A14D1" w:rsidRDefault="00000000">
          <w:pPr>
            <w:pStyle w:val="TOC2"/>
            <w:tabs>
              <w:tab w:val="left" w:pos="660"/>
              <w:tab w:val="right" w:leader="dot" w:pos="9016"/>
            </w:tabs>
            <w:rPr>
              <w:rFonts w:asciiTheme="minorHAnsi" w:eastAsiaTheme="minorEastAsia" w:hAnsiTheme="minorHAnsi"/>
              <w:noProof/>
              <w:lang w:eastAsia="en-GB"/>
            </w:rPr>
          </w:pPr>
          <w:hyperlink w:anchor="_Toc118274730" w:history="1">
            <w:r w:rsidR="008A14D1" w:rsidRPr="00C66D22">
              <w:rPr>
                <w:rStyle w:val="Hyperlink"/>
                <w:noProof/>
              </w:rPr>
              <w:t>2)</w:t>
            </w:r>
            <w:r w:rsidR="008A14D1">
              <w:rPr>
                <w:rFonts w:asciiTheme="minorHAnsi" w:eastAsiaTheme="minorEastAsia" w:hAnsiTheme="minorHAnsi"/>
                <w:noProof/>
                <w:lang w:eastAsia="en-GB"/>
              </w:rPr>
              <w:tab/>
            </w:r>
            <w:r w:rsidR="008A14D1" w:rsidRPr="00C66D22">
              <w:rPr>
                <w:rStyle w:val="Hyperlink"/>
                <w:noProof/>
              </w:rPr>
              <w:t>Map services</w:t>
            </w:r>
            <w:r w:rsidR="008A14D1">
              <w:rPr>
                <w:noProof/>
                <w:webHidden/>
              </w:rPr>
              <w:tab/>
            </w:r>
            <w:r w:rsidR="008A14D1">
              <w:rPr>
                <w:noProof/>
                <w:webHidden/>
              </w:rPr>
              <w:fldChar w:fldCharType="begin"/>
            </w:r>
            <w:r w:rsidR="008A14D1">
              <w:rPr>
                <w:noProof/>
                <w:webHidden/>
              </w:rPr>
              <w:instrText xml:space="preserve"> PAGEREF _Toc118274730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700C0C2F" w14:textId="1B9CBCC3" w:rsidR="008A14D1" w:rsidRDefault="00000000">
          <w:pPr>
            <w:pStyle w:val="TOC2"/>
            <w:tabs>
              <w:tab w:val="left" w:pos="660"/>
              <w:tab w:val="right" w:leader="dot" w:pos="9016"/>
            </w:tabs>
            <w:rPr>
              <w:rFonts w:asciiTheme="minorHAnsi" w:eastAsiaTheme="minorEastAsia" w:hAnsiTheme="minorHAnsi"/>
              <w:noProof/>
              <w:lang w:eastAsia="en-GB"/>
            </w:rPr>
          </w:pPr>
          <w:hyperlink w:anchor="_Toc118274732" w:history="1">
            <w:r w:rsidR="008A14D1" w:rsidRPr="00C66D22">
              <w:rPr>
                <w:rStyle w:val="Hyperlink"/>
                <w:noProof/>
              </w:rPr>
              <w:t>3)</w:t>
            </w:r>
            <w:r w:rsidR="008A14D1">
              <w:rPr>
                <w:rFonts w:asciiTheme="minorHAnsi" w:eastAsiaTheme="minorEastAsia" w:hAnsiTheme="minorHAnsi"/>
                <w:noProof/>
                <w:lang w:eastAsia="en-GB"/>
              </w:rPr>
              <w:tab/>
            </w:r>
            <w:r w:rsidR="008A14D1" w:rsidRPr="00C66D22">
              <w:rPr>
                <w:rStyle w:val="Hyperlink"/>
                <w:noProof/>
              </w:rPr>
              <w:t>Plan responses</w:t>
            </w:r>
            <w:r w:rsidR="008A14D1">
              <w:rPr>
                <w:noProof/>
                <w:webHidden/>
              </w:rPr>
              <w:tab/>
            </w:r>
            <w:r w:rsidR="008A14D1">
              <w:rPr>
                <w:noProof/>
                <w:webHidden/>
              </w:rPr>
              <w:fldChar w:fldCharType="begin"/>
            </w:r>
            <w:r w:rsidR="008A14D1">
              <w:rPr>
                <w:noProof/>
                <w:webHidden/>
              </w:rPr>
              <w:instrText xml:space="preserve"> PAGEREF _Toc118274732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193C6747" w14:textId="3C3AF541" w:rsidR="008A14D1" w:rsidRDefault="00000000">
          <w:pPr>
            <w:pStyle w:val="TOC3"/>
            <w:tabs>
              <w:tab w:val="right" w:leader="dot" w:pos="9016"/>
            </w:tabs>
            <w:rPr>
              <w:rFonts w:asciiTheme="minorHAnsi" w:eastAsiaTheme="minorEastAsia" w:hAnsiTheme="minorHAnsi"/>
              <w:noProof/>
              <w:lang w:eastAsia="en-GB"/>
            </w:rPr>
          </w:pPr>
          <w:hyperlink w:anchor="_Toc118274733" w:history="1">
            <w:r w:rsidR="008A14D1" w:rsidRPr="00C66D22">
              <w:rPr>
                <w:rStyle w:val="Hyperlink"/>
                <w:b/>
                <w:bCs/>
                <w:noProof/>
              </w:rPr>
              <w:t xml:space="preserve">Examine </w:t>
            </w:r>
            <w:r w:rsidR="008A14D1" w:rsidRPr="00C66D22">
              <w:rPr>
                <w:rStyle w:val="Hyperlink"/>
                <w:noProof/>
              </w:rPr>
              <w:t>patient safety incident records and data</w:t>
            </w:r>
            <w:r w:rsidR="008A14D1">
              <w:rPr>
                <w:noProof/>
                <w:webHidden/>
              </w:rPr>
              <w:tab/>
            </w:r>
            <w:r w:rsidR="008A14D1">
              <w:rPr>
                <w:noProof/>
                <w:webHidden/>
              </w:rPr>
              <w:fldChar w:fldCharType="begin"/>
            </w:r>
            <w:r w:rsidR="008A14D1">
              <w:rPr>
                <w:noProof/>
                <w:webHidden/>
              </w:rPr>
              <w:instrText xml:space="preserve"> PAGEREF _Toc118274733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3D52E08A" w14:textId="2E1BA582" w:rsidR="008A14D1" w:rsidRDefault="00000000">
          <w:pPr>
            <w:pStyle w:val="TOC3"/>
            <w:tabs>
              <w:tab w:val="right" w:leader="dot" w:pos="9016"/>
            </w:tabs>
            <w:rPr>
              <w:rFonts w:asciiTheme="minorHAnsi" w:eastAsiaTheme="minorEastAsia" w:hAnsiTheme="minorHAnsi"/>
              <w:noProof/>
              <w:lang w:eastAsia="en-GB"/>
            </w:rPr>
          </w:pPr>
          <w:hyperlink w:anchor="_Toc118274734" w:history="1">
            <w:r w:rsidR="008A14D1" w:rsidRPr="00C66D22">
              <w:rPr>
                <w:rStyle w:val="Hyperlink"/>
                <w:b/>
                <w:bCs/>
                <w:noProof/>
              </w:rPr>
              <w:t>Describe</w:t>
            </w:r>
            <w:r w:rsidR="008A14D1" w:rsidRPr="00C66D22">
              <w:rPr>
                <w:rStyle w:val="Hyperlink"/>
                <w:noProof/>
              </w:rPr>
              <w:t xml:space="preserve"> safety issues demonstrated by the data</w:t>
            </w:r>
            <w:r w:rsidR="008A14D1">
              <w:rPr>
                <w:noProof/>
                <w:webHidden/>
              </w:rPr>
              <w:tab/>
            </w:r>
            <w:r w:rsidR="008A14D1">
              <w:rPr>
                <w:noProof/>
                <w:webHidden/>
              </w:rPr>
              <w:fldChar w:fldCharType="begin"/>
            </w:r>
            <w:r w:rsidR="008A14D1">
              <w:rPr>
                <w:noProof/>
                <w:webHidden/>
              </w:rPr>
              <w:instrText xml:space="preserve"> PAGEREF _Toc118274734 \h </w:instrText>
            </w:r>
            <w:r w:rsidR="008A14D1">
              <w:rPr>
                <w:noProof/>
                <w:webHidden/>
              </w:rPr>
            </w:r>
            <w:r w:rsidR="008A14D1">
              <w:rPr>
                <w:noProof/>
                <w:webHidden/>
              </w:rPr>
              <w:fldChar w:fldCharType="separate"/>
            </w:r>
            <w:r w:rsidR="008A14D1">
              <w:rPr>
                <w:noProof/>
                <w:webHidden/>
              </w:rPr>
              <w:t>3</w:t>
            </w:r>
            <w:r w:rsidR="008A14D1">
              <w:rPr>
                <w:noProof/>
                <w:webHidden/>
              </w:rPr>
              <w:fldChar w:fldCharType="end"/>
            </w:r>
          </w:hyperlink>
        </w:p>
        <w:p w14:paraId="2F7CEE7E" w14:textId="7F0238DC" w:rsidR="008A14D1" w:rsidRDefault="00000000">
          <w:pPr>
            <w:pStyle w:val="TOC3"/>
            <w:tabs>
              <w:tab w:val="right" w:leader="dot" w:pos="9016"/>
            </w:tabs>
            <w:rPr>
              <w:rFonts w:asciiTheme="minorHAnsi" w:eastAsiaTheme="minorEastAsia" w:hAnsiTheme="minorHAnsi"/>
              <w:noProof/>
              <w:lang w:eastAsia="en-GB"/>
            </w:rPr>
          </w:pPr>
          <w:hyperlink w:anchor="_Toc118274735" w:history="1">
            <w:r w:rsidR="008A14D1" w:rsidRPr="00C66D22">
              <w:rPr>
                <w:rStyle w:val="Hyperlink"/>
                <w:b/>
                <w:bCs/>
                <w:noProof/>
              </w:rPr>
              <w:t>Identify</w:t>
            </w:r>
            <w:r w:rsidR="008A14D1" w:rsidRPr="00C66D22">
              <w:rPr>
                <w:rStyle w:val="Hyperlink"/>
                <w:noProof/>
              </w:rPr>
              <w:t xml:space="preserve"> improvement work underway</w:t>
            </w:r>
            <w:r w:rsidR="008A14D1">
              <w:rPr>
                <w:noProof/>
                <w:webHidden/>
              </w:rPr>
              <w:tab/>
            </w:r>
            <w:r w:rsidR="008A14D1">
              <w:rPr>
                <w:noProof/>
                <w:webHidden/>
              </w:rPr>
              <w:fldChar w:fldCharType="begin"/>
            </w:r>
            <w:r w:rsidR="008A14D1">
              <w:rPr>
                <w:noProof/>
                <w:webHidden/>
              </w:rPr>
              <w:instrText xml:space="preserve"> PAGEREF _Toc118274735 \h </w:instrText>
            </w:r>
            <w:r w:rsidR="008A14D1">
              <w:rPr>
                <w:noProof/>
                <w:webHidden/>
              </w:rPr>
            </w:r>
            <w:r w:rsidR="008A14D1">
              <w:rPr>
                <w:noProof/>
                <w:webHidden/>
              </w:rPr>
              <w:fldChar w:fldCharType="separate"/>
            </w:r>
            <w:r w:rsidR="008A14D1">
              <w:rPr>
                <w:noProof/>
                <w:webHidden/>
              </w:rPr>
              <w:t>4</w:t>
            </w:r>
            <w:r w:rsidR="008A14D1">
              <w:rPr>
                <w:noProof/>
                <w:webHidden/>
              </w:rPr>
              <w:fldChar w:fldCharType="end"/>
            </w:r>
          </w:hyperlink>
        </w:p>
        <w:p w14:paraId="66D621E0" w14:textId="04193A5A" w:rsidR="008A14D1" w:rsidRDefault="00000000">
          <w:pPr>
            <w:pStyle w:val="TOC3"/>
            <w:tabs>
              <w:tab w:val="right" w:leader="dot" w:pos="9016"/>
            </w:tabs>
            <w:rPr>
              <w:rFonts w:asciiTheme="minorHAnsi" w:eastAsiaTheme="minorEastAsia" w:hAnsiTheme="minorHAnsi"/>
              <w:noProof/>
              <w:lang w:eastAsia="en-GB"/>
            </w:rPr>
          </w:pPr>
          <w:hyperlink w:anchor="_Toc118274736" w:history="1">
            <w:r w:rsidR="008A14D1" w:rsidRPr="00C66D22">
              <w:rPr>
                <w:rStyle w:val="Hyperlink"/>
                <w:b/>
                <w:bCs/>
                <w:noProof/>
              </w:rPr>
              <w:t xml:space="preserve">Agree </w:t>
            </w:r>
            <w:r w:rsidR="008A14D1" w:rsidRPr="00C66D22">
              <w:rPr>
                <w:rStyle w:val="Hyperlink"/>
                <w:noProof/>
              </w:rPr>
              <w:t>response methods</w:t>
            </w:r>
            <w:r w:rsidR="008A14D1">
              <w:rPr>
                <w:noProof/>
                <w:webHidden/>
              </w:rPr>
              <w:tab/>
            </w:r>
            <w:r w:rsidR="008A14D1">
              <w:rPr>
                <w:noProof/>
                <w:webHidden/>
              </w:rPr>
              <w:fldChar w:fldCharType="begin"/>
            </w:r>
            <w:r w:rsidR="008A14D1">
              <w:rPr>
                <w:noProof/>
                <w:webHidden/>
              </w:rPr>
              <w:instrText xml:space="preserve"> PAGEREF _Toc118274736 \h </w:instrText>
            </w:r>
            <w:r w:rsidR="008A14D1">
              <w:rPr>
                <w:noProof/>
                <w:webHidden/>
              </w:rPr>
            </w:r>
            <w:r w:rsidR="008A14D1">
              <w:rPr>
                <w:noProof/>
                <w:webHidden/>
              </w:rPr>
              <w:fldChar w:fldCharType="separate"/>
            </w:r>
            <w:r w:rsidR="008A14D1">
              <w:rPr>
                <w:noProof/>
                <w:webHidden/>
              </w:rPr>
              <w:t>4</w:t>
            </w:r>
            <w:r w:rsidR="008A14D1">
              <w:rPr>
                <w:noProof/>
                <w:webHidden/>
              </w:rPr>
              <w:fldChar w:fldCharType="end"/>
            </w:r>
          </w:hyperlink>
        </w:p>
        <w:p w14:paraId="3FDE80DE" w14:textId="7893A370" w:rsidR="008A14D1" w:rsidRDefault="00000000">
          <w:pPr>
            <w:pStyle w:val="TOC1"/>
            <w:tabs>
              <w:tab w:val="right" w:leader="dot" w:pos="9016"/>
            </w:tabs>
            <w:rPr>
              <w:rFonts w:asciiTheme="minorHAnsi" w:eastAsiaTheme="minorEastAsia" w:hAnsiTheme="minorHAnsi"/>
              <w:noProof/>
              <w:lang w:eastAsia="en-GB"/>
            </w:rPr>
          </w:pPr>
          <w:hyperlink w:anchor="_Toc118274737" w:history="1">
            <w:r w:rsidR="008A14D1" w:rsidRPr="00C66D22">
              <w:rPr>
                <w:rStyle w:val="Hyperlink"/>
                <w:noProof/>
              </w:rPr>
              <w:t>Completing the patient safety incident response plan template</w:t>
            </w:r>
            <w:r w:rsidR="008A14D1">
              <w:rPr>
                <w:noProof/>
                <w:webHidden/>
              </w:rPr>
              <w:tab/>
            </w:r>
            <w:r w:rsidR="008A14D1">
              <w:rPr>
                <w:noProof/>
                <w:webHidden/>
              </w:rPr>
              <w:fldChar w:fldCharType="begin"/>
            </w:r>
            <w:r w:rsidR="008A14D1">
              <w:rPr>
                <w:noProof/>
                <w:webHidden/>
              </w:rPr>
              <w:instrText xml:space="preserve"> PAGEREF _Toc118274737 \h </w:instrText>
            </w:r>
            <w:r w:rsidR="008A14D1">
              <w:rPr>
                <w:noProof/>
                <w:webHidden/>
              </w:rPr>
            </w:r>
            <w:r w:rsidR="008A14D1">
              <w:rPr>
                <w:noProof/>
                <w:webHidden/>
              </w:rPr>
              <w:fldChar w:fldCharType="separate"/>
            </w:r>
            <w:r w:rsidR="008A14D1">
              <w:rPr>
                <w:noProof/>
                <w:webHidden/>
              </w:rPr>
              <w:t>6</w:t>
            </w:r>
            <w:r w:rsidR="008A14D1">
              <w:rPr>
                <w:noProof/>
                <w:webHidden/>
              </w:rPr>
              <w:fldChar w:fldCharType="end"/>
            </w:r>
          </w:hyperlink>
        </w:p>
        <w:p w14:paraId="56028D1A" w14:textId="230C3853" w:rsidR="008A14D1" w:rsidRDefault="00000000">
          <w:pPr>
            <w:pStyle w:val="TOC1"/>
            <w:tabs>
              <w:tab w:val="right" w:leader="dot" w:pos="9016"/>
            </w:tabs>
            <w:rPr>
              <w:rFonts w:asciiTheme="minorHAnsi" w:eastAsiaTheme="minorEastAsia" w:hAnsiTheme="minorHAnsi"/>
              <w:noProof/>
              <w:lang w:eastAsia="en-GB"/>
            </w:rPr>
          </w:pPr>
          <w:hyperlink w:anchor="_Toc118274738" w:history="1">
            <w:r w:rsidR="008A14D1" w:rsidRPr="00C66D22">
              <w:rPr>
                <w:rStyle w:val="Hyperlink"/>
                <w:noProof/>
              </w:rPr>
              <w:t>A living and responsive plan</w:t>
            </w:r>
            <w:r w:rsidR="008A14D1">
              <w:rPr>
                <w:noProof/>
                <w:webHidden/>
              </w:rPr>
              <w:tab/>
            </w:r>
            <w:r w:rsidR="008A14D1">
              <w:rPr>
                <w:noProof/>
                <w:webHidden/>
              </w:rPr>
              <w:fldChar w:fldCharType="begin"/>
            </w:r>
            <w:r w:rsidR="008A14D1">
              <w:rPr>
                <w:noProof/>
                <w:webHidden/>
              </w:rPr>
              <w:instrText xml:space="preserve"> PAGEREF _Toc118274738 \h </w:instrText>
            </w:r>
            <w:r w:rsidR="008A14D1">
              <w:rPr>
                <w:noProof/>
                <w:webHidden/>
              </w:rPr>
            </w:r>
            <w:r w:rsidR="008A14D1">
              <w:rPr>
                <w:noProof/>
                <w:webHidden/>
              </w:rPr>
              <w:fldChar w:fldCharType="separate"/>
            </w:r>
            <w:r w:rsidR="008A14D1">
              <w:rPr>
                <w:noProof/>
                <w:webHidden/>
              </w:rPr>
              <w:t>7</w:t>
            </w:r>
            <w:r w:rsidR="008A14D1">
              <w:rPr>
                <w:noProof/>
                <w:webHidden/>
              </w:rPr>
              <w:fldChar w:fldCharType="end"/>
            </w:r>
          </w:hyperlink>
        </w:p>
        <w:p w14:paraId="7F4283FA" w14:textId="6E07B2C9" w:rsidR="0046747F" w:rsidRDefault="0046747F">
          <w:r>
            <w:rPr>
              <w:b/>
              <w:bCs/>
              <w:noProof/>
            </w:rPr>
            <w:fldChar w:fldCharType="end"/>
          </w:r>
        </w:p>
      </w:sdtContent>
    </w:sdt>
    <w:p w14:paraId="331BCBE5" w14:textId="77777777" w:rsidR="0046747F" w:rsidRPr="0046747F" w:rsidRDefault="0046747F"/>
    <w:p w14:paraId="7115E2E2" w14:textId="31406916" w:rsidR="0046747F" w:rsidRDefault="00962899">
      <w:pPr>
        <w:rPr>
          <w:rFonts w:eastAsiaTheme="majorEastAsia" w:cstheme="majorBidi"/>
          <w:color w:val="365F91" w:themeColor="accent1" w:themeShade="BF"/>
          <w:sz w:val="32"/>
          <w:szCs w:val="32"/>
        </w:rPr>
      </w:pPr>
      <w:r>
        <w:t xml:space="preserve">This guidance has been developed collaboratively </w:t>
      </w:r>
      <w:r w:rsidR="00952DF8">
        <w:t xml:space="preserve">between </w:t>
      </w:r>
      <w:r w:rsidR="00952DF8" w:rsidRPr="00952DF8">
        <w:t>Stop the Pressure Programme</w:t>
      </w:r>
      <w:r w:rsidR="00772DF0">
        <w:t xml:space="preserve">, </w:t>
      </w:r>
      <w:r w:rsidR="00952DF8" w:rsidRPr="00952DF8">
        <w:t xml:space="preserve">National Wound Care Strategy </w:t>
      </w:r>
      <w:r w:rsidR="00952DF8">
        <w:t>leads</w:t>
      </w:r>
      <w:r w:rsidR="00FC0E83">
        <w:t xml:space="preserve"> and members of the Patient Safety Team</w:t>
      </w:r>
      <w:r w:rsidR="009C0154">
        <w:t xml:space="preserve">, </w:t>
      </w:r>
      <w:r w:rsidR="00773218">
        <w:t>with the support from</w:t>
      </w:r>
      <w:r w:rsidR="009C0154">
        <w:t xml:space="preserve"> the Patient Safety Incident Response Framework (</w:t>
      </w:r>
      <w:r w:rsidR="00B96BDB">
        <w:t>PSIRF)</w:t>
      </w:r>
      <w:r w:rsidR="009C0154">
        <w:t xml:space="preserve"> Implementation and Working Groups. </w:t>
      </w:r>
      <w:r w:rsidR="00773218">
        <w:t xml:space="preserve"> </w:t>
      </w:r>
      <w:r w:rsidR="0046747F">
        <w:br w:type="page"/>
      </w:r>
    </w:p>
    <w:p w14:paraId="477DD962" w14:textId="4E42BB3D" w:rsidR="00C97E5E" w:rsidRPr="006A1F51" w:rsidRDefault="00C97E5E" w:rsidP="00EB68D5">
      <w:pPr>
        <w:pStyle w:val="Heading1"/>
      </w:pPr>
      <w:bookmarkStart w:id="0" w:name="_Toc118274727"/>
      <w:r w:rsidRPr="006A1F51">
        <w:lastRenderedPageBreak/>
        <w:t>Introduction</w:t>
      </w:r>
      <w:bookmarkEnd w:id="0"/>
      <w:r w:rsidR="0071686F" w:rsidRPr="006A1F51">
        <w:t xml:space="preserve"> </w:t>
      </w:r>
    </w:p>
    <w:p w14:paraId="0AB99C2F" w14:textId="2DA6A65E" w:rsidR="00C97E5E" w:rsidRPr="006A1F51" w:rsidRDefault="00B96BDB">
      <w:pPr>
        <w:rPr>
          <w:rFonts w:cs="Arial"/>
        </w:rPr>
      </w:pPr>
      <w:r>
        <w:rPr>
          <w:rFonts w:cs="Arial"/>
        </w:rPr>
        <w:t>The Patient safety incident response framework (</w:t>
      </w:r>
      <w:r w:rsidR="00C97E5E" w:rsidRPr="006A1F51">
        <w:rPr>
          <w:rFonts w:cs="Arial"/>
        </w:rPr>
        <w:t>PSIRF</w:t>
      </w:r>
      <w:r>
        <w:rPr>
          <w:rFonts w:cs="Arial"/>
        </w:rPr>
        <w:t>)</w:t>
      </w:r>
      <w:r w:rsidR="00C97E5E" w:rsidRPr="006A1F51">
        <w:rPr>
          <w:rFonts w:cs="Arial"/>
        </w:rPr>
        <w:t xml:space="preserve"> represents a new approach to responding to incidents</w:t>
      </w:r>
      <w:r w:rsidR="00772DF0">
        <w:rPr>
          <w:rFonts w:cs="Arial"/>
        </w:rPr>
        <w:t xml:space="preserve">. Under PSIRF, </w:t>
      </w:r>
      <w:r>
        <w:rPr>
          <w:rFonts w:cs="Arial"/>
        </w:rPr>
        <w:t xml:space="preserve">those leading the patient safety agenda within provider </w:t>
      </w:r>
      <w:r w:rsidR="00C97E5E" w:rsidRPr="006A1F51">
        <w:rPr>
          <w:rFonts w:cs="Arial"/>
        </w:rPr>
        <w:t>organisations</w:t>
      </w:r>
      <w:r w:rsidR="00AB3DE5">
        <w:rPr>
          <w:rFonts w:cs="Arial"/>
        </w:rPr>
        <w:t xml:space="preserve">, together with </w:t>
      </w:r>
      <w:r>
        <w:rPr>
          <w:rFonts w:cs="Arial"/>
        </w:rPr>
        <w:t xml:space="preserve">internal and external </w:t>
      </w:r>
      <w:r w:rsidR="00AB3DE5">
        <w:rPr>
          <w:rFonts w:cs="Arial"/>
        </w:rPr>
        <w:t xml:space="preserve">stakeholders (including patient safety partners, commissioners, NHS England, regulators, </w:t>
      </w:r>
      <w:r>
        <w:rPr>
          <w:rFonts w:cs="Arial"/>
        </w:rPr>
        <w:t xml:space="preserve">Local Healthwatch, </w:t>
      </w:r>
      <w:r w:rsidR="00AB3DE5">
        <w:rPr>
          <w:rFonts w:cs="Arial"/>
        </w:rPr>
        <w:t>coroners etc)</w:t>
      </w:r>
      <w:r>
        <w:rPr>
          <w:rFonts w:cs="Arial"/>
        </w:rPr>
        <w:t>,</w:t>
      </w:r>
      <w:r w:rsidR="00C97E5E" w:rsidRPr="006A1F51">
        <w:rPr>
          <w:rFonts w:cs="Arial"/>
        </w:rPr>
        <w:t xml:space="preserve"> decide how to respond to patient safety incidents based on the need to generate insight to inform safety improvement where it matters most. </w:t>
      </w:r>
      <w:r w:rsidR="00A014A8">
        <w:rPr>
          <w:rFonts w:cs="Arial"/>
        </w:rPr>
        <w:t>K</w:t>
      </w:r>
      <w:r w:rsidR="00C97E5E" w:rsidRPr="006A1F51">
        <w:rPr>
          <w:rFonts w:cs="Arial"/>
        </w:rPr>
        <w:t>ey issues must first be identified and described as part of planning activities</w:t>
      </w:r>
      <w:r w:rsidR="00A014A8">
        <w:rPr>
          <w:rFonts w:cs="Arial"/>
        </w:rPr>
        <w:t xml:space="preserve"> before an organisation </w:t>
      </w:r>
      <w:r w:rsidR="00A014A8" w:rsidRPr="006A1F51">
        <w:rPr>
          <w:rFonts w:cs="Arial"/>
        </w:rPr>
        <w:t>agree</w:t>
      </w:r>
      <w:r w:rsidR="00A014A8">
        <w:rPr>
          <w:rFonts w:cs="Arial"/>
        </w:rPr>
        <w:t>s</w:t>
      </w:r>
      <w:r w:rsidR="00A014A8" w:rsidRPr="006A1F51">
        <w:rPr>
          <w:rFonts w:cs="Arial"/>
        </w:rPr>
        <w:t xml:space="preserve"> how </w:t>
      </w:r>
      <w:r w:rsidR="00A014A8">
        <w:rPr>
          <w:rFonts w:cs="Arial"/>
        </w:rPr>
        <w:t xml:space="preserve">it intends </w:t>
      </w:r>
      <w:r w:rsidR="00071047">
        <w:rPr>
          <w:rFonts w:cs="Arial"/>
        </w:rPr>
        <w:t xml:space="preserve">to </w:t>
      </w:r>
      <w:r w:rsidR="00071047" w:rsidRPr="006A1F51">
        <w:rPr>
          <w:rFonts w:cs="Arial"/>
        </w:rPr>
        <w:t>respond</w:t>
      </w:r>
      <w:r w:rsidR="00A014A8" w:rsidRPr="006A1F51">
        <w:rPr>
          <w:rFonts w:cs="Arial"/>
        </w:rPr>
        <w:t xml:space="preserve"> to </w:t>
      </w:r>
      <w:r w:rsidR="00A014A8">
        <w:rPr>
          <w:rFonts w:cs="Arial"/>
        </w:rPr>
        <w:t>maximise learning and improvement</w:t>
      </w:r>
      <w:r w:rsidR="000A0493" w:rsidRPr="006A1F51">
        <w:rPr>
          <w:rFonts w:cs="Arial"/>
        </w:rPr>
        <w:t>.</w:t>
      </w:r>
    </w:p>
    <w:p w14:paraId="6C4DA42C" w14:textId="787B76A3" w:rsidR="000A0493" w:rsidRDefault="000A0493">
      <w:pPr>
        <w:rPr>
          <w:rFonts w:cs="Arial"/>
        </w:rPr>
      </w:pPr>
      <w:r w:rsidRPr="006A1F51">
        <w:rPr>
          <w:rFonts w:cs="Arial"/>
        </w:rPr>
        <w:t>PSIR</w:t>
      </w:r>
      <w:r w:rsidR="00A014A8">
        <w:rPr>
          <w:rFonts w:cs="Arial"/>
        </w:rPr>
        <w:t>F</w:t>
      </w:r>
      <w:r w:rsidRPr="006A1F51">
        <w:rPr>
          <w:rFonts w:cs="Arial"/>
        </w:rPr>
        <w:t xml:space="preserve"> plann</w:t>
      </w:r>
      <w:r w:rsidR="00516F98" w:rsidRPr="006A1F51">
        <w:rPr>
          <w:rFonts w:cs="Arial"/>
        </w:rPr>
        <w:t xml:space="preserve">ing is captured by the cycle illustrated below. </w:t>
      </w:r>
      <w:r w:rsidR="00A014A8">
        <w:rPr>
          <w:rFonts w:cs="Arial"/>
        </w:rPr>
        <w:t xml:space="preserve">More information is provided in the </w:t>
      </w:r>
      <w:hyperlink r:id="rId11" w:history="1">
        <w:r w:rsidR="00A014A8" w:rsidRPr="00645556">
          <w:rPr>
            <w:rStyle w:val="Hyperlink"/>
            <w:rFonts w:cs="Arial"/>
          </w:rPr>
          <w:t>Guide to responding proportionately to patient safety incident</w:t>
        </w:r>
      </w:hyperlink>
      <w:r w:rsidR="00A014A8">
        <w:rPr>
          <w:rFonts w:cs="Arial"/>
        </w:rPr>
        <w:t xml:space="preserve"> as well as in the patient safety incident response </w:t>
      </w:r>
      <w:hyperlink r:id="rId12" w:history="1">
        <w:r w:rsidR="00A014A8" w:rsidRPr="00FD2176">
          <w:rPr>
            <w:rStyle w:val="Hyperlink"/>
            <w:rFonts w:cs="Arial"/>
          </w:rPr>
          <w:t>plan template</w:t>
        </w:r>
      </w:hyperlink>
      <w:r w:rsidR="00A014A8">
        <w:rPr>
          <w:rFonts w:cs="Arial"/>
        </w:rPr>
        <w:t xml:space="preserve">. </w:t>
      </w:r>
    </w:p>
    <w:p w14:paraId="5E8ECB85" w14:textId="1755E16D" w:rsidR="00A014A8" w:rsidRDefault="00F76803">
      <w:pPr>
        <w:rPr>
          <w:rFonts w:cs="Arial"/>
        </w:rPr>
      </w:pPr>
      <w:r>
        <w:rPr>
          <w:noProof/>
        </w:rPr>
        <w:drawing>
          <wp:inline distT="0" distB="0" distL="0" distR="0" wp14:anchorId="6B739FC7" wp14:editId="4AD7A620">
            <wp:extent cx="3571336" cy="2366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9424" cy="2392233"/>
                    </a:xfrm>
                    <a:prstGeom prst="rect">
                      <a:avLst/>
                    </a:prstGeom>
                  </pic:spPr>
                </pic:pic>
              </a:graphicData>
            </a:graphic>
          </wp:inline>
        </w:drawing>
      </w:r>
    </w:p>
    <w:p w14:paraId="27E27A20" w14:textId="6D4929FB" w:rsidR="00DE5B35" w:rsidRDefault="00276942">
      <w:pPr>
        <w:rPr>
          <w:rFonts w:cs="Arial"/>
        </w:rPr>
      </w:pPr>
      <w:r w:rsidRPr="006A1F51">
        <w:rPr>
          <w:rFonts w:cs="Arial"/>
        </w:rPr>
        <w:t xml:space="preserve">The example scenario below is a </w:t>
      </w:r>
      <w:r w:rsidR="00046718" w:rsidRPr="006A1F51">
        <w:rPr>
          <w:rFonts w:cs="Arial"/>
        </w:rPr>
        <w:t>hypothetical</w:t>
      </w:r>
      <w:r w:rsidRPr="006A1F51">
        <w:rPr>
          <w:rFonts w:cs="Arial"/>
        </w:rPr>
        <w:t xml:space="preserve"> one</w:t>
      </w:r>
      <w:r w:rsidR="004F3327" w:rsidRPr="006A1F51">
        <w:rPr>
          <w:rFonts w:cs="Arial"/>
        </w:rPr>
        <w:t>;</w:t>
      </w:r>
      <w:r w:rsidRPr="006A1F51">
        <w:rPr>
          <w:rFonts w:cs="Arial"/>
        </w:rPr>
        <w:t xml:space="preserve"> </w:t>
      </w:r>
      <w:r w:rsidR="00422ADE" w:rsidRPr="006A1F51">
        <w:rPr>
          <w:rFonts w:cs="Arial"/>
        </w:rPr>
        <w:t xml:space="preserve">created to illustrate how </w:t>
      </w:r>
      <w:r w:rsidR="00D23307" w:rsidRPr="006A1F51">
        <w:rPr>
          <w:rFonts w:cs="Arial"/>
        </w:rPr>
        <w:t>an organisation might work through the PSIR</w:t>
      </w:r>
      <w:r w:rsidR="00A014A8">
        <w:rPr>
          <w:rFonts w:cs="Arial"/>
        </w:rPr>
        <w:t>F</w:t>
      </w:r>
      <w:r w:rsidR="00D23307" w:rsidRPr="006A1F51">
        <w:rPr>
          <w:rFonts w:cs="Arial"/>
        </w:rPr>
        <w:t xml:space="preserve"> planning cycle</w:t>
      </w:r>
      <w:r w:rsidR="00DB105B" w:rsidRPr="006A1F51">
        <w:rPr>
          <w:rFonts w:cs="Arial"/>
        </w:rPr>
        <w:t xml:space="preserve"> in relation to a specific incident type</w:t>
      </w:r>
      <w:r w:rsidR="006809EF" w:rsidRPr="006A1F51">
        <w:rPr>
          <w:rFonts w:cs="Arial"/>
        </w:rPr>
        <w:t>. We have chosen pressure ulcers because they have b</w:t>
      </w:r>
      <w:r w:rsidR="00BC31DA" w:rsidRPr="006A1F51">
        <w:rPr>
          <w:rFonts w:cs="Arial"/>
        </w:rPr>
        <w:t xml:space="preserve">een associated with specific </w:t>
      </w:r>
      <w:r w:rsidR="00B801FE">
        <w:rPr>
          <w:rFonts w:cs="Arial"/>
        </w:rPr>
        <w:t xml:space="preserve">review and investigation </w:t>
      </w:r>
      <w:r w:rsidR="00BC31DA" w:rsidRPr="006A1F51">
        <w:rPr>
          <w:rFonts w:cs="Arial"/>
        </w:rPr>
        <w:t>processes</w:t>
      </w:r>
      <w:r w:rsidR="00EE6F07" w:rsidRPr="006A1F51">
        <w:rPr>
          <w:rFonts w:cs="Arial"/>
        </w:rPr>
        <w:t xml:space="preserve"> </w:t>
      </w:r>
      <w:r w:rsidR="004D5DBC" w:rsidRPr="006A1F51">
        <w:rPr>
          <w:rFonts w:cs="Arial"/>
        </w:rPr>
        <w:t>under the existing (</w:t>
      </w:r>
      <w:r w:rsidR="00A014A8">
        <w:rPr>
          <w:rFonts w:cs="Arial"/>
        </w:rPr>
        <w:t>Serious Incident, SI</w:t>
      </w:r>
      <w:r w:rsidR="004D5DBC" w:rsidRPr="006A1F51">
        <w:rPr>
          <w:rFonts w:cs="Arial"/>
        </w:rPr>
        <w:t>) process.</w:t>
      </w:r>
      <w:r w:rsidR="009D5D3B" w:rsidRPr="006A1F51">
        <w:rPr>
          <w:rFonts w:cs="Arial"/>
        </w:rPr>
        <w:t xml:space="preserve"> </w:t>
      </w:r>
    </w:p>
    <w:p w14:paraId="117651C2" w14:textId="2ADC671D" w:rsidR="00772DF0" w:rsidRPr="00BD4D80" w:rsidRDefault="00772DF0">
      <w:pPr>
        <w:rPr>
          <w:rFonts w:cs="Arial"/>
          <w:b/>
          <w:bCs/>
        </w:rPr>
      </w:pPr>
      <w:r w:rsidRPr="00BD4D80">
        <w:rPr>
          <w:rFonts w:cs="Arial"/>
          <w:b/>
          <w:bCs/>
        </w:rPr>
        <w:t xml:space="preserve">Note: </w:t>
      </w:r>
      <w:r w:rsidR="005A7496" w:rsidRPr="00BD4D80">
        <w:rPr>
          <w:rFonts w:cs="Arial"/>
          <w:b/>
          <w:bCs/>
        </w:rPr>
        <w:t xml:space="preserve"> </w:t>
      </w:r>
    </w:p>
    <w:p w14:paraId="5AE182BE" w14:textId="421DEF68" w:rsidR="00AB3DE5" w:rsidRDefault="005A7496">
      <w:pPr>
        <w:rPr>
          <w:rFonts w:cs="Arial"/>
        </w:rPr>
      </w:pPr>
      <w:r>
        <w:rPr>
          <w:rFonts w:cs="Arial"/>
        </w:rPr>
        <w:t>PSIRF does not change</w:t>
      </w:r>
      <w:r w:rsidR="00AB3DE5">
        <w:rPr>
          <w:rFonts w:cs="Arial"/>
        </w:rPr>
        <w:t>:</w:t>
      </w:r>
    </w:p>
    <w:p w14:paraId="25DE98D9" w14:textId="77777777" w:rsidR="00C74B4B" w:rsidRPr="00C74B4B" w:rsidRDefault="00AB3DE5" w:rsidP="00C74B4B">
      <w:pPr>
        <w:pStyle w:val="ListParagraph"/>
        <w:numPr>
          <w:ilvl w:val="0"/>
          <w:numId w:val="12"/>
        </w:numPr>
        <w:rPr>
          <w:rFonts w:cs="Arial"/>
          <w:strike/>
        </w:rPr>
      </w:pPr>
      <w:r>
        <w:rPr>
          <w:rFonts w:cs="Arial"/>
        </w:rPr>
        <w:t>A</w:t>
      </w:r>
      <w:r w:rsidR="005A7496" w:rsidRPr="00AB3DE5">
        <w:rPr>
          <w:rFonts w:cs="Arial"/>
        </w:rPr>
        <w:t>ny reporting requirements or expectations to record patient safety events</w:t>
      </w:r>
      <w:r w:rsidR="00B801FE" w:rsidRPr="00AB3DE5">
        <w:rPr>
          <w:rFonts w:cs="Arial"/>
        </w:rPr>
        <w:t>.</w:t>
      </w:r>
    </w:p>
    <w:p w14:paraId="4B9A425D" w14:textId="4790848D" w:rsidR="00AB3DE5" w:rsidRPr="00AB3DE5" w:rsidRDefault="00AB3DE5" w:rsidP="001E5423">
      <w:pPr>
        <w:pStyle w:val="ListParagraph"/>
        <w:numPr>
          <w:ilvl w:val="0"/>
          <w:numId w:val="12"/>
        </w:numPr>
        <w:rPr>
          <w:rFonts w:cs="Arial"/>
          <w:strike/>
        </w:rPr>
      </w:pPr>
      <w:r>
        <w:t>The need to engage those affected by patient safety incidents (including patients, families</w:t>
      </w:r>
      <w:r w:rsidR="00772DF0">
        <w:t>,</w:t>
      </w:r>
      <w:r>
        <w:t xml:space="preserve"> and staff) and to uphold the Duty of Candour. See PSIRF supporting guidance </w:t>
      </w:r>
      <w:hyperlink r:id="rId14" w:history="1">
        <w:r w:rsidRPr="00AB3DE5">
          <w:rPr>
            <w:color w:val="0000FF"/>
            <w:u w:val="single"/>
          </w:rPr>
          <w:t>B1465-2.-Engaging-and-involving...-v1-FINAL.pdf (england.nhs.uk)</w:t>
        </w:r>
      </w:hyperlink>
      <w:r>
        <w:t xml:space="preserve"> for further information</w:t>
      </w:r>
      <w:r w:rsidR="00772DF0">
        <w:t xml:space="preserve">. </w:t>
      </w:r>
    </w:p>
    <w:p w14:paraId="2E0ECCA1" w14:textId="1283A335" w:rsidR="00772DF0" w:rsidRPr="00772DF0" w:rsidRDefault="00772DF0" w:rsidP="00BD4D80">
      <w:pPr>
        <w:rPr>
          <w:rFonts w:cs="Arial"/>
          <w:strike/>
        </w:rPr>
      </w:pPr>
      <w:r>
        <w:t xml:space="preserve">Patient safety incident data cannot measure prevalence or incidence of pressure ulcers other data sources are required for this purpose. </w:t>
      </w:r>
      <w:r w:rsidRPr="00B84655">
        <w:t xml:space="preserve">The National Wound Care Strategy Programme is currently </w:t>
      </w:r>
      <w:r>
        <w:t>developing recommendations for</w:t>
      </w:r>
      <w:r w:rsidRPr="00B84655">
        <w:t xml:space="preserve"> reporting of pressure ulcers</w:t>
      </w:r>
      <w:r>
        <w:t>.</w:t>
      </w:r>
    </w:p>
    <w:p w14:paraId="06513CA7" w14:textId="77777777" w:rsidR="0046747F" w:rsidRDefault="0046747F">
      <w:pPr>
        <w:rPr>
          <w:rFonts w:eastAsiaTheme="majorEastAsia" w:cstheme="majorBidi"/>
          <w:color w:val="365F91" w:themeColor="accent1" w:themeShade="BF"/>
          <w:sz w:val="32"/>
          <w:szCs w:val="32"/>
        </w:rPr>
      </w:pPr>
      <w:r>
        <w:br w:type="page"/>
      </w:r>
    </w:p>
    <w:p w14:paraId="710A513C" w14:textId="3FD4F3FE" w:rsidR="00A26064" w:rsidRDefault="00A26064" w:rsidP="00EB68D5">
      <w:pPr>
        <w:pStyle w:val="Heading1"/>
      </w:pPr>
      <w:bookmarkStart w:id="1" w:name="_Toc118274728"/>
      <w:r w:rsidRPr="006A1F51">
        <w:lastRenderedPageBreak/>
        <w:t xml:space="preserve">Developing the </w:t>
      </w:r>
      <w:r w:rsidR="00A014A8">
        <w:t>p</w:t>
      </w:r>
      <w:r w:rsidRPr="006A1F51">
        <w:t xml:space="preserve">atient </w:t>
      </w:r>
      <w:r w:rsidR="00A014A8">
        <w:t>s</w:t>
      </w:r>
      <w:r w:rsidRPr="006A1F51">
        <w:t xml:space="preserve">afety </w:t>
      </w:r>
      <w:r w:rsidR="00A014A8">
        <w:t>i</w:t>
      </w:r>
      <w:r w:rsidRPr="006A1F51">
        <w:t xml:space="preserve">ncident </w:t>
      </w:r>
      <w:r w:rsidR="00A014A8">
        <w:t>r</w:t>
      </w:r>
      <w:r w:rsidRPr="006A1F51">
        <w:t xml:space="preserve">esponse </w:t>
      </w:r>
      <w:r w:rsidR="00A014A8">
        <w:t>p</w:t>
      </w:r>
      <w:r w:rsidRPr="006A1F51">
        <w:t>lan</w:t>
      </w:r>
      <w:bookmarkEnd w:id="1"/>
    </w:p>
    <w:p w14:paraId="67A13276" w14:textId="01A43905" w:rsidR="00772DF0" w:rsidRPr="00BD4D80" w:rsidRDefault="00772DF0" w:rsidP="00BD4D80">
      <w:r w:rsidRPr="00BD4D80">
        <w:rPr>
          <w:b/>
          <w:bCs/>
        </w:rPr>
        <w:t>Note:</w:t>
      </w:r>
      <w:r>
        <w:t xml:space="preserve"> this example focuses on step three of the PSIRF planning cycle: Planning responses. </w:t>
      </w:r>
    </w:p>
    <w:p w14:paraId="1A54CD30" w14:textId="6FF7BDF5" w:rsidR="00772DF0" w:rsidRPr="00772DF0" w:rsidRDefault="00A014A8" w:rsidP="00BD4D80">
      <w:pPr>
        <w:pStyle w:val="ListParagraph"/>
        <w:numPr>
          <w:ilvl w:val="0"/>
          <w:numId w:val="13"/>
        </w:numPr>
        <w:rPr>
          <w:rFonts w:cs="Arial"/>
        </w:rPr>
      </w:pPr>
      <w:bookmarkStart w:id="2" w:name="_Toc118274729"/>
      <w:r w:rsidRPr="00EB68D5">
        <w:rPr>
          <w:rStyle w:val="Heading2Char"/>
        </w:rPr>
        <w:t>U</w:t>
      </w:r>
      <w:r w:rsidR="00F76803" w:rsidRPr="00EB68D5">
        <w:rPr>
          <w:rStyle w:val="Heading2Char"/>
        </w:rPr>
        <w:t>nderstand capacity</w:t>
      </w:r>
      <w:bookmarkEnd w:id="2"/>
      <w:r w:rsidR="00F76803" w:rsidRPr="00772DF0">
        <w:rPr>
          <w:rFonts w:cs="Arial"/>
        </w:rPr>
        <w:t xml:space="preserve"> </w:t>
      </w:r>
    </w:p>
    <w:p w14:paraId="24494F42" w14:textId="02F45D0F" w:rsidR="00F76803" w:rsidRPr="00BD4D80" w:rsidRDefault="00772DF0">
      <w:pPr>
        <w:rPr>
          <w:rFonts w:cs="Arial"/>
        </w:rPr>
      </w:pPr>
      <w:r w:rsidRPr="00BD4D80">
        <w:rPr>
          <w:rFonts w:cs="Arial"/>
        </w:rPr>
        <w:t>Let’s imagine the PSIRF lead</w:t>
      </w:r>
      <w:r>
        <w:rPr>
          <w:rStyle w:val="FootnoteReference"/>
          <w:rFonts w:cs="Arial"/>
        </w:rPr>
        <w:footnoteReference w:id="1"/>
      </w:r>
      <w:r w:rsidRPr="00BD4D80">
        <w:rPr>
          <w:rFonts w:cs="Arial"/>
        </w:rPr>
        <w:t xml:space="preserve">, with their supporting team for United </w:t>
      </w:r>
      <w:proofErr w:type="spellStart"/>
      <w:r w:rsidRPr="00BD4D80">
        <w:rPr>
          <w:rFonts w:cs="Arial"/>
        </w:rPr>
        <w:t>Holby</w:t>
      </w:r>
      <w:proofErr w:type="spellEnd"/>
      <w:r w:rsidRPr="00BD4D80">
        <w:rPr>
          <w:rFonts w:cs="Arial"/>
        </w:rPr>
        <w:t xml:space="preserve"> Trust and representatives from relevant internal and external stakeholder groups, has already done the first bit that is needed in any </w:t>
      </w:r>
      <w:hyperlink r:id="rId15" w:history="1">
        <w:r w:rsidRPr="00772DF0">
          <w:rPr>
            <w:rStyle w:val="Hyperlink"/>
            <w:rFonts w:cs="Arial"/>
          </w:rPr>
          <w:t>planning process</w:t>
        </w:r>
      </w:hyperlink>
      <w:r w:rsidRPr="00BD4D80">
        <w:rPr>
          <w:rFonts w:cs="Arial"/>
        </w:rPr>
        <w:t>. That i</w:t>
      </w:r>
      <w:r>
        <w:rPr>
          <w:rFonts w:cs="Arial"/>
        </w:rPr>
        <w:t xml:space="preserve">s, they </w:t>
      </w:r>
      <w:r w:rsidR="00A014A8" w:rsidRPr="00BD4D80">
        <w:rPr>
          <w:rFonts w:cs="Arial"/>
        </w:rPr>
        <w:t xml:space="preserve">understand </w:t>
      </w:r>
      <w:r w:rsidR="00F76803" w:rsidRPr="00BD4D80">
        <w:rPr>
          <w:rFonts w:cs="Arial"/>
        </w:rPr>
        <w:t>the type and estimated quantity of responses the organisation should be able to support based on current and/or planned capacity and capability</w:t>
      </w:r>
      <w:r>
        <w:rPr>
          <w:rFonts w:cs="Arial"/>
        </w:rPr>
        <w:t xml:space="preserve">. </w:t>
      </w:r>
      <w:r w:rsidR="00F76803" w:rsidRPr="00BD4D80">
        <w:rPr>
          <w:rFonts w:cs="Arial"/>
        </w:rPr>
        <w:t xml:space="preserve"> </w:t>
      </w:r>
    </w:p>
    <w:p w14:paraId="28743CC9" w14:textId="0CD4EC58" w:rsidR="00772DF0" w:rsidRPr="00772DF0" w:rsidRDefault="00A014A8" w:rsidP="00BD4D80">
      <w:pPr>
        <w:pStyle w:val="ListParagraph"/>
        <w:numPr>
          <w:ilvl w:val="0"/>
          <w:numId w:val="13"/>
        </w:numPr>
        <w:rPr>
          <w:rFonts w:cs="Arial"/>
        </w:rPr>
      </w:pPr>
      <w:bookmarkStart w:id="3" w:name="_Toc118274730"/>
      <w:r w:rsidRPr="00EB68D5">
        <w:rPr>
          <w:rStyle w:val="Heading2Char"/>
        </w:rPr>
        <w:t>M</w:t>
      </w:r>
      <w:r w:rsidR="00F76803" w:rsidRPr="00EB68D5">
        <w:rPr>
          <w:rStyle w:val="Heading2Char"/>
        </w:rPr>
        <w:t>ap services</w:t>
      </w:r>
      <w:bookmarkEnd w:id="3"/>
      <w:r w:rsidR="002E7F8F" w:rsidRPr="005A7496">
        <w:t xml:space="preserve"> </w:t>
      </w:r>
    </w:p>
    <w:p w14:paraId="1C5E6BDF" w14:textId="4733F22F" w:rsidR="001254A4" w:rsidRPr="00BD4D80" w:rsidRDefault="00772DF0">
      <w:pPr>
        <w:rPr>
          <w:rFonts w:cs="Arial"/>
        </w:rPr>
      </w:pPr>
      <w:r>
        <w:t xml:space="preserve">In this phase the PSIRF team </w:t>
      </w:r>
      <w:r w:rsidR="00426AE6">
        <w:rPr>
          <w:rFonts w:cs="Arial"/>
        </w:rPr>
        <w:t>undertook a mapping exercise to understand</w:t>
      </w:r>
      <w:r w:rsidR="00A014A8" w:rsidRPr="00BD4D80">
        <w:rPr>
          <w:rFonts w:cs="Arial"/>
        </w:rPr>
        <w:t xml:space="preserve"> </w:t>
      </w:r>
      <w:r w:rsidR="002E7F8F" w:rsidRPr="00BD4D80">
        <w:rPr>
          <w:rFonts w:cs="Arial"/>
        </w:rPr>
        <w:t>what</w:t>
      </w:r>
      <w:r w:rsidR="00A014A8" w:rsidRPr="00BD4D80">
        <w:rPr>
          <w:rFonts w:cs="Arial"/>
        </w:rPr>
        <w:t xml:space="preserve"> </w:t>
      </w:r>
      <w:r w:rsidR="002E7F8F" w:rsidRPr="00BD4D80">
        <w:rPr>
          <w:rFonts w:cs="Arial"/>
        </w:rPr>
        <w:t xml:space="preserve">services </w:t>
      </w:r>
      <w:r w:rsidR="00A014A8" w:rsidRPr="00BD4D80">
        <w:rPr>
          <w:rFonts w:cs="Arial"/>
        </w:rPr>
        <w:t>the organisation</w:t>
      </w:r>
      <w:r w:rsidR="002E7F8F" w:rsidRPr="00BD4D80">
        <w:rPr>
          <w:rFonts w:cs="Arial"/>
        </w:rPr>
        <w:t xml:space="preserve"> offer</w:t>
      </w:r>
      <w:r w:rsidR="00A014A8" w:rsidRPr="00BD4D80">
        <w:rPr>
          <w:rFonts w:cs="Arial"/>
        </w:rPr>
        <w:t>s</w:t>
      </w:r>
      <w:r w:rsidR="002E7F8F" w:rsidRPr="00BD4D80">
        <w:rPr>
          <w:rFonts w:cs="Arial"/>
        </w:rPr>
        <w:t xml:space="preserve"> and who </w:t>
      </w:r>
      <w:r w:rsidR="00A014A8" w:rsidRPr="00BD4D80">
        <w:rPr>
          <w:rFonts w:cs="Arial"/>
        </w:rPr>
        <w:t>needs to be</w:t>
      </w:r>
      <w:r w:rsidR="002E7F8F" w:rsidRPr="00BD4D80">
        <w:rPr>
          <w:rFonts w:cs="Arial"/>
        </w:rPr>
        <w:t xml:space="preserve"> </w:t>
      </w:r>
      <w:r w:rsidR="00A014A8" w:rsidRPr="00BD4D80">
        <w:rPr>
          <w:rFonts w:cs="Arial"/>
        </w:rPr>
        <w:t>engaged</w:t>
      </w:r>
      <w:r w:rsidR="0046747F" w:rsidRPr="00BD4D80">
        <w:rPr>
          <w:rFonts w:cs="Arial"/>
        </w:rPr>
        <w:t xml:space="preserve"> in response planning</w:t>
      </w:r>
      <w:r w:rsidR="00864CC3" w:rsidRPr="00BD4D80">
        <w:rPr>
          <w:rFonts w:cs="Arial"/>
        </w:rPr>
        <w:t xml:space="preserve"> </w:t>
      </w:r>
    </w:p>
    <w:p w14:paraId="6396F545" w14:textId="7B11F40D" w:rsidR="00F76803" w:rsidRDefault="0046747F" w:rsidP="00BD4D80">
      <w:pPr>
        <w:pStyle w:val="Heading2"/>
        <w:numPr>
          <w:ilvl w:val="0"/>
          <w:numId w:val="13"/>
        </w:numPr>
      </w:pPr>
      <w:bookmarkStart w:id="4" w:name="_Toc118274732"/>
      <w:r>
        <w:t>Plan responses</w:t>
      </w:r>
      <w:bookmarkEnd w:id="4"/>
      <w:r w:rsidR="00A014A8" w:rsidRPr="006A1F51">
        <w:t xml:space="preserve"> </w:t>
      </w:r>
    </w:p>
    <w:p w14:paraId="4DA55778" w14:textId="7ACC84A4" w:rsidR="00426AE6" w:rsidRDefault="00426AE6" w:rsidP="00426AE6">
      <w:pPr>
        <w:rPr>
          <w:rFonts w:cs="Arial"/>
        </w:rPr>
      </w:pPr>
      <w:r w:rsidRPr="00BD4D80">
        <w:rPr>
          <w:rFonts w:cs="Arial"/>
        </w:rPr>
        <w:t>The</w:t>
      </w:r>
      <w:r>
        <w:rPr>
          <w:rFonts w:cs="Arial"/>
        </w:rPr>
        <w:t xml:space="preserve"> PSIRF team </w:t>
      </w:r>
      <w:r w:rsidRPr="00BD4D80">
        <w:rPr>
          <w:rFonts w:cs="Arial"/>
        </w:rPr>
        <w:t>now move</w:t>
      </w:r>
      <w:r>
        <w:rPr>
          <w:rFonts w:cs="Arial"/>
        </w:rPr>
        <w:t>d</w:t>
      </w:r>
      <w:r w:rsidRPr="00BD4D80">
        <w:rPr>
          <w:rFonts w:cs="Arial"/>
        </w:rPr>
        <w:t xml:space="preserve"> on to </w:t>
      </w:r>
      <w:r w:rsidRPr="00BD4D80">
        <w:rPr>
          <w:rFonts w:cs="Arial"/>
          <w:b/>
          <w:bCs/>
        </w:rPr>
        <w:t>plan responses</w:t>
      </w:r>
      <w:r w:rsidRPr="00BD4D80">
        <w:rPr>
          <w:rFonts w:cs="Arial"/>
        </w:rPr>
        <w:t xml:space="preserve">, which includes four activities: examine, describe, identify and agree. </w:t>
      </w:r>
    </w:p>
    <w:p w14:paraId="1EE29B40" w14:textId="162ADC8F" w:rsidR="00426AE6" w:rsidRPr="00BD4D80" w:rsidRDefault="00426AE6" w:rsidP="00BD4D80">
      <w:r w:rsidRPr="00BD4D80">
        <w:rPr>
          <w:rFonts w:cs="Arial"/>
          <w:b/>
          <w:bCs/>
          <w:i/>
          <w:iCs/>
        </w:rPr>
        <w:t>Note:</w:t>
      </w:r>
      <w:r w:rsidRPr="00BD4D80">
        <w:rPr>
          <w:rFonts w:cs="Arial"/>
          <w:i/>
          <w:iCs/>
        </w:rPr>
        <w:t xml:space="preserve"> the distinction between the four ‘activities’ is not always well defined; planning responses will involve going around the cycle (as well as back and forth between activities) multiple times.</w:t>
      </w:r>
    </w:p>
    <w:p w14:paraId="7BB007AC" w14:textId="7FA8A4F8" w:rsidR="00A014A8" w:rsidRPr="005A7496" w:rsidRDefault="00A014A8" w:rsidP="00EB68D5">
      <w:pPr>
        <w:pStyle w:val="Heading3"/>
      </w:pPr>
      <w:bookmarkStart w:id="5" w:name="_Toc118274733"/>
      <w:r w:rsidRPr="00BD4D80">
        <w:rPr>
          <w:b/>
          <w:bCs/>
        </w:rPr>
        <w:t xml:space="preserve">Examine </w:t>
      </w:r>
      <w:r w:rsidRPr="005A7496">
        <w:t>patient safety incident records and data</w:t>
      </w:r>
      <w:bookmarkEnd w:id="5"/>
    </w:p>
    <w:p w14:paraId="01A9E0B1" w14:textId="6F4E81A8" w:rsidR="00194004" w:rsidRPr="006A1F51" w:rsidRDefault="00426AE6">
      <w:pPr>
        <w:rPr>
          <w:rFonts w:cs="Arial"/>
        </w:rPr>
      </w:pPr>
      <w:r>
        <w:rPr>
          <w:rFonts w:cs="Arial"/>
        </w:rPr>
        <w:t>The ‘examine’ phase</w:t>
      </w:r>
      <w:r w:rsidR="00F76803">
        <w:rPr>
          <w:rFonts w:cs="Arial"/>
        </w:rPr>
        <w:t xml:space="preserve"> includes </w:t>
      </w:r>
      <w:r w:rsidR="0039322C">
        <w:rPr>
          <w:rFonts w:cs="Arial"/>
        </w:rPr>
        <w:t xml:space="preserve">identifying information sources and </w:t>
      </w:r>
      <w:r w:rsidR="00893E97" w:rsidRPr="006A1F51">
        <w:rPr>
          <w:rFonts w:cs="Arial"/>
        </w:rPr>
        <w:t>start</w:t>
      </w:r>
      <w:r w:rsidR="0039322C">
        <w:rPr>
          <w:rFonts w:cs="Arial"/>
        </w:rPr>
        <w:t>ing</w:t>
      </w:r>
      <w:r w:rsidR="00893E97" w:rsidRPr="006A1F51">
        <w:rPr>
          <w:rFonts w:cs="Arial"/>
        </w:rPr>
        <w:t xml:space="preserve"> to gather </w:t>
      </w:r>
      <w:r w:rsidR="0039322C">
        <w:rPr>
          <w:rFonts w:cs="Arial"/>
        </w:rPr>
        <w:t xml:space="preserve">and extract </w:t>
      </w:r>
      <w:r w:rsidR="00893E97" w:rsidRPr="006A1F51">
        <w:rPr>
          <w:rFonts w:cs="Arial"/>
        </w:rPr>
        <w:t xml:space="preserve">information about </w:t>
      </w:r>
      <w:r w:rsidR="00B02E1A">
        <w:rPr>
          <w:rFonts w:cs="Arial"/>
        </w:rPr>
        <w:t>an</w:t>
      </w:r>
      <w:r w:rsidR="00DE1F02" w:rsidRPr="006A1F51">
        <w:rPr>
          <w:rFonts w:cs="Arial"/>
        </w:rPr>
        <w:t xml:space="preserve"> organisation</w:t>
      </w:r>
      <w:r w:rsidR="00F76803">
        <w:rPr>
          <w:rFonts w:cs="Arial"/>
        </w:rPr>
        <w:t>’</w:t>
      </w:r>
      <w:r w:rsidR="00DE1F02" w:rsidRPr="006A1F51">
        <w:rPr>
          <w:rFonts w:cs="Arial"/>
        </w:rPr>
        <w:t>s patient safety incident profile</w:t>
      </w:r>
      <w:r w:rsidR="00385599" w:rsidRPr="006A1F51">
        <w:rPr>
          <w:rFonts w:cs="Arial"/>
        </w:rPr>
        <w:t xml:space="preserve"> </w:t>
      </w:r>
      <w:r w:rsidR="00864CC3" w:rsidRPr="006A1F51">
        <w:rPr>
          <w:rFonts w:cs="Arial"/>
        </w:rPr>
        <w:t>(</w:t>
      </w:r>
      <w:proofErr w:type="spellStart"/>
      <w:proofErr w:type="gramStart"/>
      <w:r w:rsidR="00385599" w:rsidRPr="006A1F51">
        <w:rPr>
          <w:rFonts w:cs="Arial"/>
        </w:rPr>
        <w:t>ie</w:t>
      </w:r>
      <w:proofErr w:type="spellEnd"/>
      <w:proofErr w:type="gramEnd"/>
      <w:r w:rsidR="00385599" w:rsidRPr="006A1F51">
        <w:rPr>
          <w:rFonts w:cs="Arial"/>
        </w:rPr>
        <w:t xml:space="preserve"> </w:t>
      </w:r>
      <w:r w:rsidR="00194004" w:rsidRPr="006A1F51">
        <w:rPr>
          <w:rFonts w:cs="Arial"/>
        </w:rPr>
        <w:t xml:space="preserve">what are the incidents and issues </w:t>
      </w:r>
      <w:r w:rsidR="00B87987">
        <w:rPr>
          <w:rFonts w:cs="Arial"/>
        </w:rPr>
        <w:t>a</w:t>
      </w:r>
      <w:r w:rsidR="00194004" w:rsidRPr="006A1F51">
        <w:rPr>
          <w:rFonts w:cs="Arial"/>
        </w:rPr>
        <w:t>ffecting patient safety</w:t>
      </w:r>
      <w:r w:rsidR="002E7F8F" w:rsidRPr="006A1F51">
        <w:rPr>
          <w:rFonts w:cs="Arial"/>
        </w:rPr>
        <w:t xml:space="preserve"> </w:t>
      </w:r>
      <w:r w:rsidR="0039322C">
        <w:rPr>
          <w:rFonts w:cs="Arial"/>
        </w:rPr>
        <w:t>across the</w:t>
      </w:r>
      <w:r w:rsidR="002E7F8F" w:rsidRPr="006A1F51">
        <w:rPr>
          <w:rFonts w:cs="Arial"/>
        </w:rPr>
        <w:t xml:space="preserve"> organisation</w:t>
      </w:r>
      <w:r w:rsidR="00681BB2">
        <w:rPr>
          <w:rFonts w:cs="Arial"/>
        </w:rPr>
        <w:t>?</w:t>
      </w:r>
      <w:r w:rsidR="00864CC3" w:rsidRPr="006A1F51">
        <w:rPr>
          <w:rFonts w:cs="Arial"/>
        </w:rPr>
        <w:t>)</w:t>
      </w:r>
      <w:r w:rsidR="00681BB2">
        <w:rPr>
          <w:rFonts w:cs="Arial"/>
        </w:rPr>
        <w:t xml:space="preserve">. </w:t>
      </w:r>
    </w:p>
    <w:p w14:paraId="05A1F582" w14:textId="1418303E" w:rsidR="00B87987" w:rsidRDefault="00EF0202">
      <w:pPr>
        <w:rPr>
          <w:rFonts w:cs="Arial"/>
        </w:rPr>
      </w:pPr>
      <w:r w:rsidRPr="006A1F51">
        <w:rPr>
          <w:rFonts w:cs="Arial"/>
        </w:rPr>
        <w:t xml:space="preserve">As part of their </w:t>
      </w:r>
      <w:r w:rsidR="00401CA4" w:rsidRPr="006A1F51">
        <w:rPr>
          <w:rFonts w:cs="Arial"/>
        </w:rPr>
        <w:t>work,</w:t>
      </w:r>
      <w:r w:rsidRPr="006A1F51">
        <w:rPr>
          <w:rFonts w:cs="Arial"/>
        </w:rPr>
        <w:t xml:space="preserve"> </w:t>
      </w:r>
      <w:r w:rsidR="00B87987">
        <w:rPr>
          <w:rFonts w:cs="Arial"/>
        </w:rPr>
        <w:t xml:space="preserve">the PSIRF lead and supporting team </w:t>
      </w:r>
      <w:r w:rsidR="00B02E1A">
        <w:rPr>
          <w:rFonts w:cs="Arial"/>
        </w:rPr>
        <w:t xml:space="preserve">at United </w:t>
      </w:r>
      <w:proofErr w:type="spellStart"/>
      <w:r w:rsidR="00B02E1A">
        <w:rPr>
          <w:rFonts w:cs="Arial"/>
        </w:rPr>
        <w:t>Holby</w:t>
      </w:r>
      <w:proofErr w:type="spellEnd"/>
      <w:r w:rsidR="00B02E1A">
        <w:rPr>
          <w:rFonts w:cs="Arial"/>
        </w:rPr>
        <w:t xml:space="preserve"> Trust </w:t>
      </w:r>
      <w:r w:rsidR="00B87987">
        <w:rPr>
          <w:rFonts w:cs="Arial"/>
        </w:rPr>
        <w:t>note that</w:t>
      </w:r>
      <w:r w:rsidRPr="006A1F51">
        <w:rPr>
          <w:rFonts w:cs="Arial"/>
        </w:rPr>
        <w:t xml:space="preserve"> </w:t>
      </w:r>
      <w:r w:rsidR="00F76803">
        <w:rPr>
          <w:rFonts w:cs="Arial"/>
        </w:rPr>
        <w:t>pressure ulcers</w:t>
      </w:r>
      <w:r w:rsidR="00893E97" w:rsidRPr="006A1F51">
        <w:rPr>
          <w:rFonts w:cs="Arial"/>
        </w:rPr>
        <w:t xml:space="preserve"> </w:t>
      </w:r>
      <w:r w:rsidR="00F76803">
        <w:rPr>
          <w:rFonts w:cs="Arial"/>
        </w:rPr>
        <w:t>(</w:t>
      </w:r>
      <w:r w:rsidR="00893E97" w:rsidRPr="006A1F51">
        <w:rPr>
          <w:rFonts w:cs="Arial"/>
        </w:rPr>
        <w:t>P</w:t>
      </w:r>
      <w:r w:rsidR="00F76803">
        <w:rPr>
          <w:rFonts w:cs="Arial"/>
        </w:rPr>
        <w:t>U</w:t>
      </w:r>
      <w:r w:rsidR="00893E97" w:rsidRPr="006A1F51">
        <w:rPr>
          <w:rFonts w:cs="Arial"/>
        </w:rPr>
        <w:t>s</w:t>
      </w:r>
      <w:r w:rsidR="00F76803">
        <w:rPr>
          <w:rFonts w:cs="Arial"/>
        </w:rPr>
        <w:t>)</w:t>
      </w:r>
      <w:r w:rsidR="00893E97" w:rsidRPr="006A1F51">
        <w:rPr>
          <w:rFonts w:cs="Arial"/>
        </w:rPr>
        <w:t xml:space="preserve"> </w:t>
      </w:r>
      <w:r w:rsidR="00B87987">
        <w:rPr>
          <w:rFonts w:cs="Arial"/>
        </w:rPr>
        <w:t>were</w:t>
      </w:r>
      <w:r w:rsidR="00893E97" w:rsidRPr="006A1F51">
        <w:rPr>
          <w:rFonts w:cs="Arial"/>
        </w:rPr>
        <w:t xml:space="preserve"> one of the </w:t>
      </w:r>
      <w:r w:rsidR="00E904F6" w:rsidRPr="006A1F51">
        <w:rPr>
          <w:rFonts w:cs="Arial"/>
        </w:rPr>
        <w:t>most recorded</w:t>
      </w:r>
      <w:r w:rsidR="00194004" w:rsidRPr="006A1F51">
        <w:rPr>
          <w:rFonts w:cs="Arial"/>
        </w:rPr>
        <w:t xml:space="preserve"> </w:t>
      </w:r>
      <w:r w:rsidR="0039322C">
        <w:rPr>
          <w:rFonts w:cs="Arial"/>
        </w:rPr>
        <w:t>incidents</w:t>
      </w:r>
      <w:r w:rsidR="005A7496">
        <w:rPr>
          <w:rFonts w:cs="Arial"/>
        </w:rPr>
        <w:t>,</w:t>
      </w:r>
      <w:r w:rsidR="001C2AE8" w:rsidRPr="006A1F51">
        <w:rPr>
          <w:rFonts w:cs="Arial"/>
        </w:rPr>
        <w:t xml:space="preserve"> </w:t>
      </w:r>
      <w:r w:rsidR="00E171FB" w:rsidRPr="006A1F51">
        <w:rPr>
          <w:rFonts w:cs="Arial"/>
        </w:rPr>
        <w:t xml:space="preserve">according to past </w:t>
      </w:r>
      <w:r w:rsidR="00681BB2">
        <w:rPr>
          <w:rFonts w:cs="Arial"/>
        </w:rPr>
        <w:t>three</w:t>
      </w:r>
      <w:r w:rsidR="00E171FB" w:rsidRPr="006A1F51">
        <w:rPr>
          <w:rFonts w:cs="Arial"/>
        </w:rPr>
        <w:t xml:space="preserve"> years of data from</w:t>
      </w:r>
      <w:r w:rsidR="008A7D9C">
        <w:rPr>
          <w:rFonts w:cs="Arial"/>
        </w:rPr>
        <w:t xml:space="preserve"> their</w:t>
      </w:r>
      <w:r w:rsidR="00B96BDB">
        <w:rPr>
          <w:rFonts w:cs="Arial"/>
        </w:rPr>
        <w:t xml:space="preserve"> Local risk management system (</w:t>
      </w:r>
      <w:r w:rsidR="00E171FB" w:rsidRPr="006A1F51">
        <w:rPr>
          <w:rFonts w:cs="Arial"/>
        </w:rPr>
        <w:t>LRMS</w:t>
      </w:r>
      <w:r w:rsidR="00B96BDB">
        <w:rPr>
          <w:rFonts w:cs="Arial"/>
        </w:rPr>
        <w:t>)</w:t>
      </w:r>
      <w:r w:rsidR="005A7496">
        <w:rPr>
          <w:rStyle w:val="FootnoteReference"/>
          <w:rFonts w:cs="Arial"/>
        </w:rPr>
        <w:footnoteReference w:id="2"/>
      </w:r>
      <w:r w:rsidR="005A7496">
        <w:rPr>
          <w:rFonts w:cs="Arial"/>
        </w:rPr>
        <w:t>,</w:t>
      </w:r>
      <w:r w:rsidR="00E171FB" w:rsidRPr="006A1F51">
        <w:rPr>
          <w:rFonts w:cs="Arial"/>
        </w:rPr>
        <w:t xml:space="preserve"> and </w:t>
      </w:r>
      <w:r w:rsidR="00B87987">
        <w:rPr>
          <w:rFonts w:cs="Arial"/>
        </w:rPr>
        <w:t>were</w:t>
      </w:r>
      <w:r w:rsidR="00AA3D40" w:rsidRPr="006A1F51">
        <w:rPr>
          <w:rFonts w:cs="Arial"/>
        </w:rPr>
        <w:t xml:space="preserve"> associated</w:t>
      </w:r>
      <w:r w:rsidR="00FD31A9" w:rsidRPr="006A1F51">
        <w:rPr>
          <w:rFonts w:cs="Arial"/>
        </w:rPr>
        <w:t xml:space="preserve"> with many complaints from patients, </w:t>
      </w:r>
      <w:r w:rsidR="00C74B4B" w:rsidRPr="006A1F51">
        <w:rPr>
          <w:rFonts w:cs="Arial"/>
        </w:rPr>
        <w:t>families,</w:t>
      </w:r>
      <w:r w:rsidR="00FD31A9" w:rsidRPr="006A1F51">
        <w:rPr>
          <w:rFonts w:cs="Arial"/>
        </w:rPr>
        <w:t xml:space="preserve"> and carers. </w:t>
      </w:r>
      <w:r w:rsidR="00AB3DE5">
        <w:rPr>
          <w:rFonts w:cs="Arial"/>
        </w:rPr>
        <w:t xml:space="preserve">This finding is shared and discussed with the </w:t>
      </w:r>
      <w:r w:rsidR="00B96BDB">
        <w:rPr>
          <w:rFonts w:cs="Arial"/>
        </w:rPr>
        <w:t xml:space="preserve">representatives from relevant internal and external </w:t>
      </w:r>
      <w:r w:rsidR="00AB3DE5">
        <w:rPr>
          <w:rFonts w:cs="Arial"/>
        </w:rPr>
        <w:t>stakeholder group</w:t>
      </w:r>
      <w:r w:rsidR="00B96BDB">
        <w:rPr>
          <w:rFonts w:cs="Arial"/>
        </w:rPr>
        <w:t>s</w:t>
      </w:r>
      <w:r w:rsidR="00AB3DE5">
        <w:rPr>
          <w:rFonts w:cs="Arial"/>
        </w:rPr>
        <w:t xml:space="preserve"> who agree</w:t>
      </w:r>
      <w:r w:rsidR="00223A49">
        <w:rPr>
          <w:rFonts w:cs="Arial"/>
        </w:rPr>
        <w:t xml:space="preserve"> it should </w:t>
      </w:r>
      <w:r w:rsidR="00AB3DE5">
        <w:rPr>
          <w:rFonts w:cs="Arial"/>
        </w:rPr>
        <w:t xml:space="preserve">be considered further. </w:t>
      </w:r>
      <w:r w:rsidR="00FD31A9" w:rsidRPr="006A1F51">
        <w:rPr>
          <w:rFonts w:cs="Arial"/>
        </w:rPr>
        <w:t>Clinical staff</w:t>
      </w:r>
      <w:r w:rsidR="00A42CF2" w:rsidRPr="006A1F51">
        <w:rPr>
          <w:rFonts w:cs="Arial"/>
        </w:rPr>
        <w:t xml:space="preserve"> also fed back that they </w:t>
      </w:r>
      <w:r w:rsidR="00B02E1A">
        <w:rPr>
          <w:rFonts w:cs="Arial"/>
        </w:rPr>
        <w:t>were</w:t>
      </w:r>
      <w:r w:rsidR="00FD31A9" w:rsidRPr="006A1F51">
        <w:rPr>
          <w:rFonts w:cs="Arial"/>
        </w:rPr>
        <w:t xml:space="preserve"> </w:t>
      </w:r>
      <w:r w:rsidR="001E1DF5">
        <w:rPr>
          <w:rFonts w:cs="Arial"/>
        </w:rPr>
        <w:t>concerned</w:t>
      </w:r>
      <w:r w:rsidR="00FD31A9" w:rsidRPr="006A1F51">
        <w:rPr>
          <w:rFonts w:cs="Arial"/>
        </w:rPr>
        <w:t xml:space="preserve"> </w:t>
      </w:r>
      <w:r w:rsidR="001E6854">
        <w:rPr>
          <w:rFonts w:cs="Arial"/>
        </w:rPr>
        <w:t>that the actions following RCA</w:t>
      </w:r>
      <w:r w:rsidR="00B87987">
        <w:rPr>
          <w:rFonts w:cs="Arial"/>
        </w:rPr>
        <w:t>s</w:t>
      </w:r>
      <w:r w:rsidR="001E6854">
        <w:rPr>
          <w:rFonts w:cs="Arial"/>
        </w:rPr>
        <w:t xml:space="preserve"> focus</w:t>
      </w:r>
      <w:r w:rsidR="00B02E1A">
        <w:rPr>
          <w:rFonts w:cs="Arial"/>
        </w:rPr>
        <w:t>ed</w:t>
      </w:r>
      <w:r w:rsidR="001E6854">
        <w:rPr>
          <w:rFonts w:cs="Arial"/>
        </w:rPr>
        <w:t xml:space="preserve"> on quick fixes (eg staff reminders) rather than addressing the underlying </w:t>
      </w:r>
      <w:r w:rsidR="00B87987">
        <w:rPr>
          <w:rFonts w:cs="Arial"/>
        </w:rPr>
        <w:t>systemic contributory factors</w:t>
      </w:r>
      <w:r w:rsidR="0039322C" w:rsidRPr="001E6854">
        <w:rPr>
          <w:rFonts w:cs="Arial"/>
        </w:rPr>
        <w:t>.</w:t>
      </w:r>
    </w:p>
    <w:p w14:paraId="04648CB5" w14:textId="51985F49" w:rsidR="00681BB2" w:rsidRDefault="00681BB2">
      <w:pPr>
        <w:rPr>
          <w:rFonts w:cs="Arial"/>
        </w:rPr>
      </w:pPr>
      <w:r>
        <w:rPr>
          <w:rFonts w:cs="Arial"/>
        </w:rPr>
        <w:t xml:space="preserve">The </w:t>
      </w:r>
      <w:r w:rsidR="00B96BDB">
        <w:rPr>
          <w:rFonts w:cs="Arial"/>
        </w:rPr>
        <w:t xml:space="preserve">PSIRF lead and supporting </w:t>
      </w:r>
      <w:r>
        <w:rPr>
          <w:rFonts w:cs="Arial"/>
        </w:rPr>
        <w:t>team</w:t>
      </w:r>
      <w:r w:rsidR="00AB3DE5">
        <w:rPr>
          <w:rFonts w:cs="Arial"/>
        </w:rPr>
        <w:t>, with support from</w:t>
      </w:r>
      <w:r w:rsidR="00A60C5A">
        <w:rPr>
          <w:rFonts w:cs="Arial"/>
        </w:rPr>
        <w:t xml:space="preserve"> representatives from relevant</w:t>
      </w:r>
      <w:r w:rsidR="00AB3DE5">
        <w:rPr>
          <w:rFonts w:cs="Arial"/>
        </w:rPr>
        <w:t xml:space="preserve"> </w:t>
      </w:r>
      <w:r w:rsidR="00A60C5A">
        <w:rPr>
          <w:rFonts w:cs="Arial"/>
        </w:rPr>
        <w:t xml:space="preserve">internal and external </w:t>
      </w:r>
      <w:r w:rsidR="00AB3DE5">
        <w:rPr>
          <w:rFonts w:cs="Arial"/>
        </w:rPr>
        <w:t>stakeholder group</w:t>
      </w:r>
      <w:r w:rsidR="00A60C5A">
        <w:rPr>
          <w:rFonts w:cs="Arial"/>
        </w:rPr>
        <w:t>s</w:t>
      </w:r>
      <w:r w:rsidR="00AB3DE5">
        <w:rPr>
          <w:rFonts w:cs="Arial"/>
        </w:rPr>
        <w:t>,</w:t>
      </w:r>
      <w:r>
        <w:rPr>
          <w:rFonts w:cs="Arial"/>
        </w:rPr>
        <w:t xml:space="preserve"> decide</w:t>
      </w:r>
      <w:r w:rsidR="00B02E1A">
        <w:rPr>
          <w:rFonts w:cs="Arial"/>
        </w:rPr>
        <w:t>d</w:t>
      </w:r>
      <w:r>
        <w:rPr>
          <w:rFonts w:cs="Arial"/>
        </w:rPr>
        <w:t xml:space="preserve"> to explore this further to determine the best way to respond to PUs under PSIRF to maximise learning and improvement</w:t>
      </w:r>
    </w:p>
    <w:p w14:paraId="5821D0E1" w14:textId="3EA63343" w:rsidR="00681BB2" w:rsidRDefault="00681BB2" w:rsidP="00EB68D5">
      <w:pPr>
        <w:pStyle w:val="Heading3"/>
      </w:pPr>
      <w:bookmarkStart w:id="6" w:name="_Toc118274734"/>
      <w:r w:rsidRPr="00BD4D80">
        <w:rPr>
          <w:b/>
          <w:bCs/>
        </w:rPr>
        <w:t>Describe</w:t>
      </w:r>
      <w:r>
        <w:t xml:space="preserve"> safety issues demonstrated by the data</w:t>
      </w:r>
      <w:bookmarkEnd w:id="6"/>
    </w:p>
    <w:p w14:paraId="54E68ABE" w14:textId="1DDC7A82" w:rsidR="00F76803" w:rsidRDefault="00B87987">
      <w:pPr>
        <w:rPr>
          <w:rFonts w:cs="Arial"/>
        </w:rPr>
      </w:pPr>
      <w:r>
        <w:rPr>
          <w:rFonts w:cs="Arial"/>
        </w:rPr>
        <w:t>The PSIRF</w:t>
      </w:r>
      <w:r w:rsidR="0039322C">
        <w:rPr>
          <w:rFonts w:cs="Arial"/>
        </w:rPr>
        <w:t xml:space="preserve"> </w:t>
      </w:r>
      <w:r>
        <w:rPr>
          <w:rFonts w:cs="Arial"/>
        </w:rPr>
        <w:t xml:space="preserve">team engaged with the </w:t>
      </w:r>
      <w:r w:rsidR="00E32EFC">
        <w:rPr>
          <w:rFonts w:cs="Arial"/>
        </w:rPr>
        <w:t>T</w:t>
      </w:r>
      <w:r>
        <w:rPr>
          <w:rFonts w:cs="Arial"/>
        </w:rPr>
        <w:t xml:space="preserve">issue </w:t>
      </w:r>
      <w:r w:rsidR="00E32EFC">
        <w:rPr>
          <w:rFonts w:cs="Arial"/>
        </w:rPr>
        <w:t>V</w:t>
      </w:r>
      <w:r>
        <w:rPr>
          <w:rFonts w:cs="Arial"/>
        </w:rPr>
        <w:t xml:space="preserve">iability </w:t>
      </w:r>
      <w:r w:rsidR="00E32EFC">
        <w:rPr>
          <w:rFonts w:cs="Arial"/>
        </w:rPr>
        <w:t>S</w:t>
      </w:r>
      <w:r>
        <w:rPr>
          <w:rFonts w:cs="Arial"/>
        </w:rPr>
        <w:t>ervice</w:t>
      </w:r>
      <w:r w:rsidRPr="006A1F51">
        <w:rPr>
          <w:rFonts w:cs="Arial"/>
        </w:rPr>
        <w:t xml:space="preserve"> </w:t>
      </w:r>
      <w:r w:rsidR="001E6854">
        <w:rPr>
          <w:rFonts w:cs="Arial"/>
        </w:rPr>
        <w:t>and Matrons</w:t>
      </w:r>
      <w:r w:rsidR="00223A49">
        <w:rPr>
          <w:rFonts w:cs="Arial"/>
        </w:rPr>
        <w:t xml:space="preserve">, and a smaller focus group </w:t>
      </w:r>
      <w:r w:rsidR="00A60C5A">
        <w:rPr>
          <w:rFonts w:cs="Arial"/>
        </w:rPr>
        <w:t>(</w:t>
      </w:r>
      <w:r w:rsidR="00223A49">
        <w:rPr>
          <w:rFonts w:cs="Arial"/>
        </w:rPr>
        <w:t>including</w:t>
      </w:r>
      <w:r w:rsidR="00A60C5A">
        <w:rPr>
          <w:rFonts w:cs="Arial"/>
        </w:rPr>
        <w:t xml:space="preserve"> members from both internal and external stakeholder groups)</w:t>
      </w:r>
      <w:r w:rsidR="001E6854">
        <w:rPr>
          <w:rFonts w:cs="Arial"/>
        </w:rPr>
        <w:t xml:space="preserve"> </w:t>
      </w:r>
      <w:r>
        <w:rPr>
          <w:rFonts w:cs="Arial"/>
        </w:rPr>
        <w:t xml:space="preserve">to </w:t>
      </w:r>
      <w:r w:rsidR="00600311" w:rsidRPr="006A1F51">
        <w:rPr>
          <w:rFonts w:cs="Arial"/>
        </w:rPr>
        <w:t xml:space="preserve">look </w:t>
      </w:r>
      <w:r w:rsidR="00600311" w:rsidRPr="006A1F51">
        <w:rPr>
          <w:rFonts w:cs="Arial"/>
        </w:rPr>
        <w:lastRenderedPageBreak/>
        <w:t xml:space="preserve">through </w:t>
      </w:r>
      <w:r w:rsidR="00B02E1A">
        <w:rPr>
          <w:rFonts w:cs="Arial"/>
        </w:rPr>
        <w:t xml:space="preserve">patient safety </w:t>
      </w:r>
      <w:r w:rsidR="009A6BE6">
        <w:rPr>
          <w:rFonts w:cs="Arial"/>
        </w:rPr>
        <w:t>incident</w:t>
      </w:r>
      <w:r w:rsidR="00B02E1A">
        <w:rPr>
          <w:rFonts w:cs="Arial"/>
        </w:rPr>
        <w:t xml:space="preserve"> recording</w:t>
      </w:r>
      <w:r w:rsidR="00600311" w:rsidRPr="006A1F51">
        <w:rPr>
          <w:rFonts w:cs="Arial"/>
        </w:rPr>
        <w:t xml:space="preserve"> and complaints</w:t>
      </w:r>
      <w:r w:rsidR="00B02E1A">
        <w:rPr>
          <w:rFonts w:cs="Arial"/>
        </w:rPr>
        <w:t xml:space="preserve"> data</w:t>
      </w:r>
      <w:r w:rsidR="00A60C5A">
        <w:rPr>
          <w:rFonts w:cs="Arial"/>
        </w:rPr>
        <w:t xml:space="preserve"> in detail</w:t>
      </w:r>
      <w:r>
        <w:rPr>
          <w:rFonts w:cs="Arial"/>
        </w:rPr>
        <w:t>. Together they were able to</w:t>
      </w:r>
      <w:r w:rsidR="00600311" w:rsidRPr="006A1F51">
        <w:rPr>
          <w:rFonts w:cs="Arial"/>
        </w:rPr>
        <w:t xml:space="preserve"> triangulate this with information from a national</w:t>
      </w:r>
      <w:r w:rsidR="001E6854">
        <w:rPr>
          <w:rFonts w:cs="Arial"/>
        </w:rPr>
        <w:t xml:space="preserve"> surveillance</w:t>
      </w:r>
      <w:r w:rsidR="00600311" w:rsidRPr="006A1F51">
        <w:rPr>
          <w:rFonts w:cs="Arial"/>
        </w:rPr>
        <w:t xml:space="preserve"> and local</w:t>
      </w:r>
      <w:r w:rsidR="009A6BE6">
        <w:rPr>
          <w:rFonts w:cs="Arial"/>
        </w:rPr>
        <w:t xml:space="preserve"> surveillance</w:t>
      </w:r>
      <w:r w:rsidR="00600311" w:rsidRPr="006A1F51">
        <w:rPr>
          <w:rFonts w:cs="Arial"/>
        </w:rPr>
        <w:t xml:space="preserve"> audit which looks </w:t>
      </w:r>
      <w:r w:rsidR="002F023A" w:rsidRPr="006A1F51">
        <w:rPr>
          <w:rFonts w:cs="Arial"/>
        </w:rPr>
        <w:t xml:space="preserve">at the prevalence of PUs and adherence to the </w:t>
      </w:r>
      <w:proofErr w:type="spellStart"/>
      <w:r w:rsidR="002F023A" w:rsidRPr="006A1F51">
        <w:rPr>
          <w:rFonts w:cs="Arial"/>
        </w:rPr>
        <w:t>aSSKIN</w:t>
      </w:r>
      <w:r w:rsidR="001E6854">
        <w:rPr>
          <w:rFonts w:cs="Arial"/>
        </w:rPr>
        <w:t>g</w:t>
      </w:r>
      <w:proofErr w:type="spellEnd"/>
      <w:r w:rsidR="00672693" w:rsidRPr="00672693">
        <w:t xml:space="preserve"> </w:t>
      </w:r>
      <w:r w:rsidR="00672693" w:rsidRPr="00672693">
        <w:rPr>
          <w:rFonts w:cs="Arial"/>
        </w:rPr>
        <w:t>(assess risk; skin assessment and skin care; surface; keep moving; incontinence and moisture; nutrition and hydration; and giving information or getting help)</w:t>
      </w:r>
      <w:r w:rsidR="002F023A" w:rsidRPr="006A1F51">
        <w:rPr>
          <w:rFonts w:cs="Arial"/>
        </w:rPr>
        <w:t xml:space="preserve"> care bundle</w:t>
      </w:r>
      <w:r w:rsidR="005A7496">
        <w:rPr>
          <w:rStyle w:val="FootnoteReference"/>
          <w:rFonts w:cs="Arial"/>
        </w:rPr>
        <w:footnoteReference w:id="3"/>
      </w:r>
      <w:r w:rsidR="002F023A" w:rsidRPr="006A1F51">
        <w:rPr>
          <w:rFonts w:cs="Arial"/>
        </w:rPr>
        <w:t xml:space="preserve">. </w:t>
      </w:r>
    </w:p>
    <w:p w14:paraId="0F5FF4AA" w14:textId="3BB91C4E" w:rsidR="005178F0" w:rsidRPr="006A1F51" w:rsidRDefault="0039322C">
      <w:pPr>
        <w:rPr>
          <w:rFonts w:cs="Arial"/>
        </w:rPr>
      </w:pPr>
      <w:r>
        <w:rPr>
          <w:rFonts w:cs="Arial"/>
        </w:rPr>
        <w:t xml:space="preserve">Let’s imagine their discussions </w:t>
      </w:r>
      <w:r w:rsidR="00E361B4" w:rsidRPr="006A1F51">
        <w:rPr>
          <w:rFonts w:cs="Arial"/>
        </w:rPr>
        <w:t>highlight</w:t>
      </w:r>
      <w:r w:rsidR="00681BB2">
        <w:rPr>
          <w:rFonts w:cs="Arial"/>
        </w:rPr>
        <w:t>ed</w:t>
      </w:r>
      <w:r w:rsidR="00E361B4" w:rsidRPr="006A1F51">
        <w:rPr>
          <w:rFonts w:cs="Arial"/>
        </w:rPr>
        <w:t xml:space="preserve"> the following</w:t>
      </w:r>
      <w:r w:rsidR="00B26D86">
        <w:rPr>
          <w:rFonts w:cs="Arial"/>
        </w:rPr>
        <w:t xml:space="preserve"> safety issues</w:t>
      </w:r>
      <w:r w:rsidR="005178F0" w:rsidRPr="006A1F51">
        <w:rPr>
          <w:rFonts w:cs="Arial"/>
        </w:rPr>
        <w:t>:</w:t>
      </w:r>
    </w:p>
    <w:p w14:paraId="37C8C0F9" w14:textId="6321D315" w:rsidR="00681BB2" w:rsidRPr="006A1F51" w:rsidRDefault="001E6854" w:rsidP="007168CA">
      <w:pPr>
        <w:pStyle w:val="ListParagraph"/>
        <w:numPr>
          <w:ilvl w:val="0"/>
          <w:numId w:val="1"/>
        </w:numPr>
        <w:rPr>
          <w:rFonts w:cs="Arial"/>
        </w:rPr>
      </w:pPr>
      <w:r w:rsidRPr="007168CA">
        <w:rPr>
          <w:rFonts w:cs="Arial"/>
        </w:rPr>
        <w:t xml:space="preserve">United </w:t>
      </w:r>
      <w:proofErr w:type="spellStart"/>
      <w:r w:rsidRPr="007168CA">
        <w:rPr>
          <w:rFonts w:cs="Arial"/>
        </w:rPr>
        <w:t>Holby</w:t>
      </w:r>
      <w:proofErr w:type="spellEnd"/>
      <w:r w:rsidRPr="007168CA">
        <w:rPr>
          <w:rFonts w:cs="Arial"/>
        </w:rPr>
        <w:t xml:space="preserve"> Trust </w:t>
      </w:r>
      <w:r w:rsidR="00E32EFC" w:rsidRPr="007168CA">
        <w:rPr>
          <w:rFonts w:cs="Arial"/>
        </w:rPr>
        <w:t>has</w:t>
      </w:r>
      <w:r w:rsidR="005178F0" w:rsidRPr="007168CA">
        <w:rPr>
          <w:rFonts w:cs="Arial"/>
        </w:rPr>
        <w:t xml:space="preserve"> </w:t>
      </w:r>
      <w:r w:rsidR="009D24FC" w:rsidRPr="007168CA">
        <w:rPr>
          <w:rFonts w:cs="Arial"/>
        </w:rPr>
        <w:t>a high prevalence of PUs (22%) compared to national average (</w:t>
      </w:r>
      <w:r w:rsidR="009C52DC" w:rsidRPr="007168CA">
        <w:rPr>
          <w:rFonts w:cs="Arial"/>
        </w:rPr>
        <w:t>8%)</w:t>
      </w:r>
      <w:r w:rsidR="0099407A" w:rsidRPr="007168CA">
        <w:rPr>
          <w:rFonts w:cs="Arial"/>
        </w:rPr>
        <w:t xml:space="preserve"> – data shows this</w:t>
      </w:r>
      <w:r w:rsidR="007168CA" w:rsidRPr="00940D4E">
        <w:rPr>
          <w:rFonts w:cs="Arial"/>
        </w:rPr>
        <w:t xml:space="preserve"> has been steadily increasing </w:t>
      </w:r>
      <w:r w:rsidR="0099407A" w:rsidRPr="007168CA">
        <w:rPr>
          <w:rFonts w:cs="Arial"/>
        </w:rPr>
        <w:t xml:space="preserve">over the last </w:t>
      </w:r>
      <w:r w:rsidR="00681BB2">
        <w:rPr>
          <w:rFonts w:cs="Arial"/>
        </w:rPr>
        <w:t>three</w:t>
      </w:r>
      <w:r w:rsidR="007168CA" w:rsidRPr="007168CA">
        <w:rPr>
          <w:rFonts w:cs="Arial"/>
        </w:rPr>
        <w:t xml:space="preserve"> </w:t>
      </w:r>
      <w:r w:rsidR="0099407A" w:rsidRPr="007168CA">
        <w:rPr>
          <w:rFonts w:cs="Arial"/>
        </w:rPr>
        <w:t>year</w:t>
      </w:r>
      <w:r w:rsidR="007168CA" w:rsidRPr="007168CA">
        <w:rPr>
          <w:rFonts w:cs="Arial"/>
        </w:rPr>
        <w:t>s</w:t>
      </w:r>
      <w:r w:rsidR="00681BB2">
        <w:rPr>
          <w:rFonts w:cs="Arial"/>
        </w:rPr>
        <w:t xml:space="preserve">. </w:t>
      </w:r>
      <w:r w:rsidR="007168CA" w:rsidRPr="007168CA">
        <w:rPr>
          <w:rFonts w:cs="Arial"/>
        </w:rPr>
        <w:t xml:space="preserve"> </w:t>
      </w:r>
    </w:p>
    <w:p w14:paraId="068F974B" w14:textId="6F827436" w:rsidR="00681BB2" w:rsidRPr="007168CA" w:rsidRDefault="008B6827" w:rsidP="007168CA">
      <w:pPr>
        <w:pStyle w:val="ListParagraph"/>
        <w:numPr>
          <w:ilvl w:val="0"/>
          <w:numId w:val="1"/>
        </w:numPr>
        <w:rPr>
          <w:rFonts w:cs="Arial"/>
        </w:rPr>
      </w:pPr>
      <w:r w:rsidRPr="007168CA">
        <w:rPr>
          <w:rFonts w:cs="Arial"/>
        </w:rPr>
        <w:t xml:space="preserve">Compliance with </w:t>
      </w:r>
      <w:r w:rsidR="001E6854" w:rsidRPr="007168CA">
        <w:rPr>
          <w:rFonts w:cs="Arial"/>
        </w:rPr>
        <w:t xml:space="preserve">documentation of repositioning is below </w:t>
      </w:r>
      <w:r w:rsidR="00271C75" w:rsidRPr="007168CA">
        <w:rPr>
          <w:rFonts w:cs="Arial"/>
        </w:rPr>
        <w:t xml:space="preserve">their own organisational standard </w:t>
      </w:r>
    </w:p>
    <w:p w14:paraId="4D01955B" w14:textId="48F81EF6" w:rsidR="00B26D86" w:rsidRPr="00EB68D5" w:rsidRDefault="00271C75" w:rsidP="00EB68D5">
      <w:pPr>
        <w:pStyle w:val="ListParagraph"/>
        <w:numPr>
          <w:ilvl w:val="0"/>
          <w:numId w:val="1"/>
        </w:numPr>
        <w:rPr>
          <w:rFonts w:asciiTheme="minorHAnsi" w:hAnsiTheme="minorHAnsi"/>
          <w:strike/>
        </w:rPr>
      </w:pPr>
      <w:r w:rsidRPr="005A7496">
        <w:rPr>
          <w:rFonts w:cs="Arial"/>
        </w:rPr>
        <w:t xml:space="preserve">Although </w:t>
      </w:r>
      <w:r w:rsidRPr="00EB68D5">
        <w:rPr>
          <w:rFonts w:cs="Arial"/>
        </w:rPr>
        <w:t xml:space="preserve">high specification </w:t>
      </w:r>
      <w:r w:rsidR="002B0253" w:rsidRPr="00EB68D5">
        <w:rPr>
          <w:rFonts w:cs="Arial"/>
        </w:rPr>
        <w:t>equipment</w:t>
      </w:r>
      <w:r w:rsidRPr="00EB68D5">
        <w:rPr>
          <w:rFonts w:cs="Arial"/>
        </w:rPr>
        <w:t xml:space="preserve"> </w:t>
      </w:r>
      <w:r w:rsidR="00681BB2" w:rsidRPr="00EB68D5">
        <w:rPr>
          <w:rFonts w:cs="Arial"/>
        </w:rPr>
        <w:t xml:space="preserve">is used </w:t>
      </w:r>
      <w:r w:rsidRPr="00EB68D5">
        <w:rPr>
          <w:rFonts w:cs="Arial"/>
        </w:rPr>
        <w:t>patients are still getting pressure ulcers</w:t>
      </w:r>
    </w:p>
    <w:p w14:paraId="4D6F1EF5" w14:textId="53A3DDD6" w:rsidR="0046791E" w:rsidRPr="00EB68D5" w:rsidRDefault="00AF2E00" w:rsidP="00EB68D5">
      <w:pPr>
        <w:pStyle w:val="ListParagraph"/>
        <w:numPr>
          <w:ilvl w:val="0"/>
          <w:numId w:val="1"/>
        </w:numPr>
        <w:rPr>
          <w:rFonts w:cs="Arial"/>
        </w:rPr>
      </w:pPr>
      <w:r w:rsidRPr="00D01CEA">
        <w:t xml:space="preserve">More severe (category 3 and 4) pressure ulcers </w:t>
      </w:r>
      <w:r w:rsidRPr="009736B5">
        <w:t>a</w:t>
      </w:r>
      <w:r>
        <w:t xml:space="preserve">re more common in </w:t>
      </w:r>
      <w:r w:rsidRPr="009736B5">
        <w:t>patients with dark</w:t>
      </w:r>
      <w:r>
        <w:t>er</w:t>
      </w:r>
      <w:r w:rsidRPr="009736B5">
        <w:t xml:space="preserve"> skin</w:t>
      </w:r>
      <w:r>
        <w:t xml:space="preserve"> than those with lighter skin. To a large extent, this</w:t>
      </w:r>
      <w:r w:rsidRPr="00D01CEA">
        <w:t xml:space="preserve"> has contributed to the higher-than-average prevalence</w:t>
      </w:r>
      <w:r w:rsidR="00D55D05" w:rsidRPr="007F5A63">
        <w:rPr>
          <w:rFonts w:cs="Arial"/>
        </w:rPr>
        <w:t>.</w:t>
      </w:r>
      <w:r w:rsidR="004C0791" w:rsidRPr="007F5A63">
        <w:rPr>
          <w:rFonts w:cs="Arial"/>
        </w:rPr>
        <w:t xml:space="preserve"> As these are the most severe category of pressure ulcer this is of particular concern.</w:t>
      </w:r>
    </w:p>
    <w:p w14:paraId="6BAD6DAE" w14:textId="7622A9B6" w:rsidR="004C0791" w:rsidRPr="006A1F51" w:rsidRDefault="00B26D86" w:rsidP="00EB68D5">
      <w:pPr>
        <w:pStyle w:val="Heading3"/>
      </w:pPr>
      <w:bookmarkStart w:id="7" w:name="_Toc118274735"/>
      <w:r w:rsidRPr="00BD4D80">
        <w:rPr>
          <w:b/>
          <w:bCs/>
        </w:rPr>
        <w:t>Identify</w:t>
      </w:r>
      <w:r>
        <w:t xml:space="preserve"> improvement work underway</w:t>
      </w:r>
      <w:bookmarkEnd w:id="7"/>
    </w:p>
    <w:p w14:paraId="2CD0C2F2" w14:textId="4441FE51" w:rsidR="00F8632A" w:rsidRPr="00505427" w:rsidRDefault="00B02E1A" w:rsidP="00DE1EE4">
      <w:pPr>
        <w:rPr>
          <w:rFonts w:cs="Arial"/>
        </w:rPr>
      </w:pPr>
      <w:r>
        <w:rPr>
          <w:rFonts w:cs="Arial"/>
        </w:rPr>
        <w:t xml:space="preserve">Working with the </w:t>
      </w:r>
      <w:r w:rsidR="00C32C49">
        <w:rPr>
          <w:rFonts w:cs="Arial"/>
        </w:rPr>
        <w:t xml:space="preserve">Tissue Viability Service </w:t>
      </w:r>
      <w:r>
        <w:rPr>
          <w:rFonts w:cs="Arial"/>
        </w:rPr>
        <w:t>t</w:t>
      </w:r>
      <w:r w:rsidR="006354A5" w:rsidRPr="006A1F51">
        <w:rPr>
          <w:rFonts w:cs="Arial"/>
        </w:rPr>
        <w:t xml:space="preserve">he </w:t>
      </w:r>
      <w:r>
        <w:rPr>
          <w:rFonts w:cs="Arial"/>
        </w:rPr>
        <w:t xml:space="preserve">PSIRF </w:t>
      </w:r>
      <w:r w:rsidR="006354A5" w:rsidRPr="006A1F51">
        <w:rPr>
          <w:rFonts w:cs="Arial"/>
        </w:rPr>
        <w:t>team</w:t>
      </w:r>
      <w:r w:rsidR="00C74B4B">
        <w:rPr>
          <w:rFonts w:cs="Arial"/>
        </w:rPr>
        <w:t xml:space="preserve">, </w:t>
      </w:r>
      <w:r w:rsidR="00A60C5A">
        <w:rPr>
          <w:rFonts w:cs="Arial"/>
        </w:rPr>
        <w:t>with support from members of the small focus group</w:t>
      </w:r>
      <w:r w:rsidR="00C74B4B">
        <w:rPr>
          <w:rFonts w:cs="Arial"/>
        </w:rPr>
        <w:t xml:space="preserve">, </w:t>
      </w:r>
      <w:r w:rsidR="004B6D0B">
        <w:rPr>
          <w:rFonts w:cs="Arial"/>
        </w:rPr>
        <w:t>seek to</w:t>
      </w:r>
      <w:r w:rsidR="006354A5" w:rsidRPr="006A1F51">
        <w:rPr>
          <w:rFonts w:cs="Arial"/>
        </w:rPr>
        <w:t xml:space="preserve"> </w:t>
      </w:r>
      <w:r w:rsidR="00D0263B" w:rsidRPr="00EB68D5">
        <w:rPr>
          <w:rFonts w:cs="Arial"/>
        </w:rPr>
        <w:t>identify</w:t>
      </w:r>
      <w:r w:rsidR="00D0263B">
        <w:rPr>
          <w:rFonts w:cs="Arial"/>
        </w:rPr>
        <w:t xml:space="preserve"> any relevant</w:t>
      </w:r>
      <w:r w:rsidR="001653A9" w:rsidRPr="006A1F51">
        <w:rPr>
          <w:rFonts w:cs="Arial"/>
        </w:rPr>
        <w:t xml:space="preserve"> improvement </w:t>
      </w:r>
      <w:r w:rsidR="00D0263B">
        <w:rPr>
          <w:rFonts w:cs="Arial"/>
        </w:rPr>
        <w:t>work underway to address the key issues described</w:t>
      </w:r>
      <w:r w:rsidR="001653A9" w:rsidRPr="006A1F51">
        <w:rPr>
          <w:rFonts w:cs="Arial"/>
        </w:rPr>
        <w:t>. The only programme currently in place is focussed on numeration</w:t>
      </w:r>
      <w:r w:rsidR="00426AE6">
        <w:rPr>
          <w:rFonts w:cs="Arial"/>
        </w:rPr>
        <w:t>, that is,</w:t>
      </w:r>
      <w:r w:rsidR="00B801FE" w:rsidRPr="00505427">
        <w:rPr>
          <w:rFonts w:cs="Arial"/>
        </w:rPr>
        <w:t xml:space="preserve"> each ward identifying</w:t>
      </w:r>
      <w:r w:rsidR="00426AE6">
        <w:rPr>
          <w:rFonts w:cs="Arial"/>
        </w:rPr>
        <w:t>:</w:t>
      </w:r>
    </w:p>
    <w:p w14:paraId="265BE90F" w14:textId="4B26778F" w:rsidR="00F8632A" w:rsidRPr="00505427" w:rsidRDefault="00F8632A" w:rsidP="00BD4D80">
      <w:pPr>
        <w:pStyle w:val="ListParagraph"/>
        <w:numPr>
          <w:ilvl w:val="0"/>
          <w:numId w:val="14"/>
        </w:numPr>
        <w:rPr>
          <w:rFonts w:cs="Arial"/>
        </w:rPr>
      </w:pPr>
      <w:r w:rsidRPr="00505427">
        <w:rPr>
          <w:rFonts w:cs="Arial"/>
        </w:rPr>
        <w:t>N</w:t>
      </w:r>
      <w:r w:rsidR="00B801FE" w:rsidRPr="00505427">
        <w:rPr>
          <w:rFonts w:cs="Arial"/>
        </w:rPr>
        <w:t>umber of pressure ulcers</w:t>
      </w:r>
    </w:p>
    <w:p w14:paraId="3E202694" w14:textId="77777777" w:rsidR="00F8632A" w:rsidRPr="00505427" w:rsidRDefault="00F8632A" w:rsidP="00BD4D80">
      <w:pPr>
        <w:pStyle w:val="ListParagraph"/>
        <w:numPr>
          <w:ilvl w:val="0"/>
          <w:numId w:val="14"/>
        </w:numPr>
        <w:rPr>
          <w:rFonts w:cs="Arial"/>
        </w:rPr>
      </w:pPr>
      <w:r w:rsidRPr="00505427">
        <w:rPr>
          <w:rFonts w:cs="Arial"/>
        </w:rPr>
        <w:t>G</w:t>
      </w:r>
      <w:r w:rsidR="00B801FE" w:rsidRPr="00505427">
        <w:rPr>
          <w:rFonts w:cs="Arial"/>
        </w:rPr>
        <w:t xml:space="preserve">rade of each pressure ulcer </w:t>
      </w:r>
    </w:p>
    <w:p w14:paraId="73C9FFBB" w14:textId="77777777" w:rsidR="007708FF" w:rsidRPr="00505427" w:rsidRDefault="00F8632A" w:rsidP="00BD4D80">
      <w:pPr>
        <w:pStyle w:val="ListParagraph"/>
        <w:numPr>
          <w:ilvl w:val="0"/>
          <w:numId w:val="14"/>
        </w:numPr>
        <w:rPr>
          <w:rFonts w:cs="Arial"/>
        </w:rPr>
      </w:pPr>
      <w:r w:rsidRPr="00505427">
        <w:rPr>
          <w:rFonts w:cs="Arial"/>
        </w:rPr>
        <w:t>W</w:t>
      </w:r>
      <w:r w:rsidR="00B801FE" w:rsidRPr="00505427">
        <w:rPr>
          <w:rFonts w:cs="Arial"/>
        </w:rPr>
        <w:t>hether the pressure ulcer had developed during hospital admission</w:t>
      </w:r>
      <w:r w:rsidR="007708FF" w:rsidRPr="00505427">
        <w:rPr>
          <w:rFonts w:cs="Arial"/>
        </w:rPr>
        <w:t>,</w:t>
      </w:r>
      <w:r w:rsidR="00260B44" w:rsidRPr="00505427">
        <w:rPr>
          <w:rFonts w:cs="Arial"/>
        </w:rPr>
        <w:t xml:space="preserve"> and </w:t>
      </w:r>
    </w:p>
    <w:p w14:paraId="5FE5D674" w14:textId="14E1B0CB" w:rsidR="007708FF" w:rsidRPr="00505427" w:rsidRDefault="007708FF" w:rsidP="00BD4D80">
      <w:pPr>
        <w:pStyle w:val="ListParagraph"/>
        <w:numPr>
          <w:ilvl w:val="0"/>
          <w:numId w:val="14"/>
        </w:numPr>
        <w:rPr>
          <w:rFonts w:cs="Arial"/>
        </w:rPr>
      </w:pPr>
      <w:r w:rsidRPr="00505427">
        <w:rPr>
          <w:rFonts w:cs="Arial"/>
        </w:rPr>
        <w:t>W</w:t>
      </w:r>
      <w:r w:rsidR="00260B44" w:rsidRPr="00505427">
        <w:rPr>
          <w:rFonts w:cs="Arial"/>
        </w:rPr>
        <w:t>eekly audit of documentation</w:t>
      </w:r>
      <w:r w:rsidR="009A6BE6" w:rsidRPr="00505427">
        <w:rPr>
          <w:rFonts w:cs="Arial"/>
        </w:rPr>
        <w:t xml:space="preserve"> (</w:t>
      </w:r>
      <w:r w:rsidR="00B801FE" w:rsidRPr="00505427">
        <w:rPr>
          <w:rFonts w:cs="Arial"/>
        </w:rPr>
        <w:t xml:space="preserve">focused on </w:t>
      </w:r>
      <w:r w:rsidR="00B801FE" w:rsidRPr="00505427">
        <w:t>how well preventative care for pressure ulcer documentation is completed)</w:t>
      </w:r>
      <w:r w:rsidR="00383456" w:rsidRPr="00505427">
        <w:rPr>
          <w:rFonts w:cs="Arial"/>
        </w:rPr>
        <w:t xml:space="preserve"> </w:t>
      </w:r>
    </w:p>
    <w:p w14:paraId="0FFE4CB1" w14:textId="7BD89052" w:rsidR="00DE1EE4" w:rsidRPr="00505427" w:rsidRDefault="00383456" w:rsidP="007708FF">
      <w:pPr>
        <w:rPr>
          <w:rFonts w:cs="Arial"/>
        </w:rPr>
      </w:pPr>
      <w:r w:rsidRPr="00505427">
        <w:rPr>
          <w:rFonts w:cs="Arial"/>
        </w:rPr>
        <w:t>These activities are</w:t>
      </w:r>
      <w:r w:rsidR="00AF2928" w:rsidRPr="00505427">
        <w:rPr>
          <w:rFonts w:cs="Arial"/>
        </w:rPr>
        <w:t xml:space="preserve"> undertaken by</w:t>
      </w:r>
      <w:r w:rsidR="00F61D75" w:rsidRPr="00505427">
        <w:rPr>
          <w:rFonts w:cs="Arial"/>
        </w:rPr>
        <w:t xml:space="preserve"> the Tissue Viability Service and</w:t>
      </w:r>
      <w:r w:rsidR="00AC504D" w:rsidRPr="00505427">
        <w:rPr>
          <w:rFonts w:cs="Arial"/>
        </w:rPr>
        <w:t>/</w:t>
      </w:r>
      <w:r w:rsidR="00F61D75" w:rsidRPr="00505427">
        <w:rPr>
          <w:rFonts w:cs="Arial"/>
        </w:rPr>
        <w:t>or Matrons.</w:t>
      </w:r>
      <w:r w:rsidR="00AF2928" w:rsidRPr="00505427">
        <w:rPr>
          <w:rFonts w:cs="Arial"/>
        </w:rPr>
        <w:t xml:space="preserve"> </w:t>
      </w:r>
      <w:r w:rsidR="00B82D9B" w:rsidRPr="00505427">
        <w:rPr>
          <w:rFonts w:cs="Arial"/>
        </w:rPr>
        <w:t xml:space="preserve">There is no specific work to </w:t>
      </w:r>
      <w:r w:rsidR="00DE1EE4" w:rsidRPr="00505427">
        <w:rPr>
          <w:rFonts w:cs="Arial"/>
        </w:rPr>
        <w:t>address the issues identified</w:t>
      </w:r>
      <w:r w:rsidRPr="00505427">
        <w:rPr>
          <w:rFonts w:cs="Arial"/>
        </w:rPr>
        <w:t xml:space="preserve"> </w:t>
      </w:r>
      <w:r w:rsidR="00AA04AD" w:rsidRPr="00505427">
        <w:rPr>
          <w:rFonts w:cs="Arial"/>
        </w:rPr>
        <w:t>from this work.</w:t>
      </w:r>
      <w:r w:rsidR="00BA1A50" w:rsidRPr="00505427">
        <w:rPr>
          <w:rFonts w:cs="Arial"/>
        </w:rPr>
        <w:t xml:space="preserve"> </w:t>
      </w:r>
    </w:p>
    <w:p w14:paraId="1E6C566E" w14:textId="3C71F0AA" w:rsidR="00AF2928" w:rsidRPr="00EB68D5" w:rsidRDefault="00DE1EE4" w:rsidP="00EB68D5">
      <w:pPr>
        <w:pStyle w:val="Heading3"/>
      </w:pPr>
      <w:bookmarkStart w:id="8" w:name="_Toc118274736"/>
      <w:r w:rsidRPr="00BD4D80">
        <w:rPr>
          <w:b/>
          <w:bCs/>
        </w:rPr>
        <w:t xml:space="preserve">Agree </w:t>
      </w:r>
      <w:r>
        <w:t>response methods</w:t>
      </w:r>
      <w:bookmarkEnd w:id="8"/>
      <w:r w:rsidRPr="00EB68D5">
        <w:t xml:space="preserve"> </w:t>
      </w:r>
    </w:p>
    <w:p w14:paraId="100A79F7" w14:textId="6BF4F8A4" w:rsidR="00610A91" w:rsidRDefault="00610A91" w:rsidP="00610A91">
      <w:pPr>
        <w:rPr>
          <w:rFonts w:cs="Arial"/>
        </w:rPr>
      </w:pPr>
      <w:r w:rsidRPr="006A1F51">
        <w:rPr>
          <w:rFonts w:cs="Arial"/>
        </w:rPr>
        <w:t>Based on the above discussions</w:t>
      </w:r>
      <w:r>
        <w:rPr>
          <w:rFonts w:cs="Arial"/>
        </w:rPr>
        <w:t xml:space="preserve">, </w:t>
      </w:r>
      <w:r w:rsidR="009A6BE6">
        <w:rPr>
          <w:rFonts w:cs="Arial"/>
        </w:rPr>
        <w:t xml:space="preserve">and consideration of </w:t>
      </w:r>
      <w:r w:rsidR="00C32C49">
        <w:rPr>
          <w:rFonts w:cs="Arial"/>
        </w:rPr>
        <w:t>Tissue Viability Service</w:t>
      </w:r>
      <w:r w:rsidR="009A6BE6">
        <w:rPr>
          <w:rFonts w:cs="Arial"/>
        </w:rPr>
        <w:t xml:space="preserve"> and Patient safety Incident response team capacity, </w:t>
      </w:r>
      <w:r>
        <w:rPr>
          <w:rFonts w:cs="Arial"/>
        </w:rPr>
        <w:t>the</w:t>
      </w:r>
      <w:r w:rsidR="00006BA3">
        <w:rPr>
          <w:rFonts w:cs="Arial"/>
        </w:rPr>
        <w:t xml:space="preserve"> PSIRF</w:t>
      </w:r>
      <w:r w:rsidRPr="006A1F51">
        <w:rPr>
          <w:rFonts w:cs="Arial"/>
        </w:rPr>
        <w:t xml:space="preserve"> </w:t>
      </w:r>
      <w:r w:rsidR="00A60C5A">
        <w:rPr>
          <w:rFonts w:cs="Arial"/>
        </w:rPr>
        <w:t xml:space="preserve">lead, working with the PSIRF support team and small focus group, propose the following </w:t>
      </w:r>
      <w:r w:rsidRPr="0020057F">
        <w:rPr>
          <w:rFonts w:cs="Arial"/>
        </w:rPr>
        <w:t>response methods</w:t>
      </w:r>
      <w:r w:rsidR="00A60C5A">
        <w:rPr>
          <w:rFonts w:cs="Arial"/>
        </w:rPr>
        <w:t>. This is shared with relevant representatives from internal and external stakeholder groups at a collective patient safety incident response planning discussion meeting.</w:t>
      </w:r>
    </w:p>
    <w:p w14:paraId="7CF5AC47" w14:textId="5378A155" w:rsidR="00610A91" w:rsidRPr="00505427" w:rsidRDefault="00610A91" w:rsidP="00610A91">
      <w:pPr>
        <w:pStyle w:val="ListParagraph"/>
        <w:numPr>
          <w:ilvl w:val="0"/>
          <w:numId w:val="2"/>
        </w:numPr>
        <w:rPr>
          <w:rFonts w:cs="Arial"/>
        </w:rPr>
      </w:pPr>
      <w:r w:rsidRPr="00505427">
        <w:rPr>
          <w:rFonts w:cs="Arial"/>
        </w:rPr>
        <w:t>Walkthrough analysis to understand use of repositioning documentation</w:t>
      </w:r>
      <w:r w:rsidR="00C32C49" w:rsidRPr="00505427">
        <w:rPr>
          <w:rFonts w:cs="Arial"/>
        </w:rPr>
        <w:t xml:space="preserve"> </w:t>
      </w:r>
    </w:p>
    <w:p w14:paraId="77DF1ECB" w14:textId="4866D0D9" w:rsidR="00610A91" w:rsidRPr="00505427" w:rsidRDefault="00610A91" w:rsidP="00610A91">
      <w:pPr>
        <w:pStyle w:val="ListParagraph"/>
        <w:numPr>
          <w:ilvl w:val="0"/>
          <w:numId w:val="2"/>
        </w:numPr>
        <w:rPr>
          <w:rFonts w:cs="Arial"/>
        </w:rPr>
      </w:pPr>
      <w:r w:rsidRPr="00505427">
        <w:rPr>
          <w:rFonts w:cs="Arial"/>
        </w:rPr>
        <w:t>Observations to inform understanding of contextual factors influencing equipment selection and use</w:t>
      </w:r>
      <w:r w:rsidR="00C32C49" w:rsidRPr="00505427">
        <w:rPr>
          <w:rFonts w:cs="Arial"/>
        </w:rPr>
        <w:t xml:space="preserve"> </w:t>
      </w:r>
    </w:p>
    <w:p w14:paraId="54329741" w14:textId="76B241EA" w:rsidR="00112B73" w:rsidRPr="00505427" w:rsidRDefault="00610A91" w:rsidP="00B16B32">
      <w:pPr>
        <w:pStyle w:val="ListParagraph"/>
        <w:numPr>
          <w:ilvl w:val="0"/>
          <w:numId w:val="2"/>
        </w:numPr>
        <w:rPr>
          <w:rFonts w:cs="Arial"/>
        </w:rPr>
      </w:pPr>
      <w:r w:rsidRPr="00505427">
        <w:rPr>
          <w:rFonts w:cs="Arial"/>
        </w:rPr>
        <w:lastRenderedPageBreak/>
        <w:t>Observations in peer organisation Royal City Hospital wh</w:t>
      </w:r>
      <w:r w:rsidR="00EE6090" w:rsidRPr="00505427">
        <w:rPr>
          <w:rFonts w:cs="Arial"/>
        </w:rPr>
        <w:t>ich</w:t>
      </w:r>
      <w:r w:rsidRPr="00505427">
        <w:rPr>
          <w:rFonts w:cs="Arial"/>
        </w:rPr>
        <w:t xml:space="preserve"> ha</w:t>
      </w:r>
      <w:r w:rsidR="00EE6090" w:rsidRPr="00505427">
        <w:rPr>
          <w:rFonts w:cs="Arial"/>
        </w:rPr>
        <w:t xml:space="preserve">s </w:t>
      </w:r>
      <w:r w:rsidRPr="00505427">
        <w:rPr>
          <w:rFonts w:cs="Arial"/>
        </w:rPr>
        <w:t xml:space="preserve">reported low prevalence of pressure damage across their patient population </w:t>
      </w:r>
      <w:r w:rsidR="00B16B32" w:rsidRPr="00505427">
        <w:rPr>
          <w:rFonts w:cs="Arial"/>
        </w:rPr>
        <w:t>and ha</w:t>
      </w:r>
      <w:r w:rsidR="00EE6090" w:rsidRPr="00505427">
        <w:rPr>
          <w:rFonts w:cs="Arial"/>
        </w:rPr>
        <w:t>s</w:t>
      </w:r>
      <w:r w:rsidR="00B16B32" w:rsidRPr="00505427">
        <w:rPr>
          <w:rFonts w:cs="Arial"/>
        </w:rPr>
        <w:t xml:space="preserve"> a similar ethnic mix</w:t>
      </w:r>
    </w:p>
    <w:p w14:paraId="40D65B21" w14:textId="60BACDE2" w:rsidR="00217915" w:rsidRPr="00505427" w:rsidRDefault="007E0B37">
      <w:pPr>
        <w:pStyle w:val="ListParagraph"/>
        <w:numPr>
          <w:ilvl w:val="0"/>
          <w:numId w:val="2"/>
        </w:numPr>
        <w:rPr>
          <w:rFonts w:cs="Arial"/>
        </w:rPr>
      </w:pPr>
      <w:r w:rsidRPr="00505427">
        <w:rPr>
          <w:rFonts w:cs="Arial"/>
        </w:rPr>
        <w:t>I</w:t>
      </w:r>
      <w:r w:rsidR="009053DD" w:rsidRPr="00505427">
        <w:rPr>
          <w:rFonts w:cs="Arial"/>
        </w:rPr>
        <w:t xml:space="preserve">nformation about pressure </w:t>
      </w:r>
      <w:r w:rsidR="0049247D" w:rsidRPr="00505427">
        <w:rPr>
          <w:rFonts w:cs="Arial"/>
        </w:rPr>
        <w:t>ulcers</w:t>
      </w:r>
      <w:r w:rsidR="009053DD" w:rsidRPr="00505427">
        <w:rPr>
          <w:rFonts w:cs="Arial"/>
        </w:rPr>
        <w:t xml:space="preserve"> </w:t>
      </w:r>
      <w:r w:rsidR="00D338D7" w:rsidRPr="00505427">
        <w:rPr>
          <w:rFonts w:cs="Arial"/>
        </w:rPr>
        <w:t>through regular reporting systems</w:t>
      </w:r>
      <w:r w:rsidRPr="00505427">
        <w:rPr>
          <w:rFonts w:cs="Arial"/>
        </w:rPr>
        <w:t xml:space="preserve"> will continue to be monitored to look for any </w:t>
      </w:r>
      <w:r w:rsidR="00106AF7" w:rsidRPr="00505427">
        <w:rPr>
          <w:rFonts w:cs="Arial"/>
        </w:rPr>
        <w:t>changes/emerging risks/issues</w:t>
      </w:r>
      <w:r w:rsidR="00D338D7" w:rsidRPr="00505427">
        <w:rPr>
          <w:rFonts w:cs="Arial"/>
        </w:rPr>
        <w:t xml:space="preserve"> </w:t>
      </w:r>
      <w:r w:rsidR="00A43984" w:rsidRPr="00505427">
        <w:rPr>
          <w:rFonts w:cs="Arial"/>
        </w:rPr>
        <w:t xml:space="preserve">– the </w:t>
      </w:r>
      <w:r w:rsidR="00610A91" w:rsidRPr="00505427">
        <w:rPr>
          <w:rFonts w:cs="Arial"/>
        </w:rPr>
        <w:t>patient safety incident response plan</w:t>
      </w:r>
      <w:r w:rsidR="00A43984" w:rsidRPr="00505427">
        <w:rPr>
          <w:rFonts w:cs="Arial"/>
        </w:rPr>
        <w:t xml:space="preserve"> will be reviewed accordingly</w:t>
      </w:r>
    </w:p>
    <w:p w14:paraId="501F8A1F" w14:textId="77777777" w:rsidR="00426AE6" w:rsidRDefault="00A60C5A" w:rsidP="00EB68D5">
      <w:pPr>
        <w:rPr>
          <w:rFonts w:cs="Arial"/>
        </w:rPr>
      </w:pPr>
      <w:r>
        <w:rPr>
          <w:rFonts w:cs="Arial"/>
        </w:rPr>
        <w:t>During the meeting there is broad agreement for this approach. It is also agreed that r</w:t>
      </w:r>
      <w:r w:rsidR="00C32C49">
        <w:rPr>
          <w:rFonts w:cs="Arial"/>
        </w:rPr>
        <w:t xml:space="preserve">esponse methods 1-3 will be led by the Tissue </w:t>
      </w:r>
      <w:r w:rsidR="002A3B82">
        <w:rPr>
          <w:rFonts w:cs="Arial"/>
        </w:rPr>
        <w:t>Viability</w:t>
      </w:r>
      <w:r w:rsidR="00C32C49">
        <w:rPr>
          <w:rFonts w:cs="Arial"/>
        </w:rPr>
        <w:t xml:space="preserve"> Service lead with support from the patient safety specialist who has been trained in relevant approaches</w:t>
      </w:r>
      <w:r w:rsidR="002A3B82">
        <w:rPr>
          <w:rFonts w:cs="Arial"/>
        </w:rPr>
        <w:t>.</w:t>
      </w:r>
      <w:r w:rsidR="007B043D">
        <w:rPr>
          <w:rFonts w:cs="Arial"/>
        </w:rPr>
        <w:t xml:space="preserve"> </w:t>
      </w:r>
    </w:p>
    <w:p w14:paraId="6F305E85" w14:textId="4F224757" w:rsidR="00C32C49" w:rsidRPr="00C32C49" w:rsidRDefault="00426AE6" w:rsidP="00EB68D5">
      <w:pPr>
        <w:rPr>
          <w:rFonts w:cs="Arial"/>
        </w:rPr>
      </w:pPr>
      <w:r w:rsidRPr="00BD4D80">
        <w:rPr>
          <w:rFonts w:cs="Arial"/>
          <w:b/>
          <w:bCs/>
          <w:i/>
          <w:iCs/>
        </w:rPr>
        <w:t>Note</w:t>
      </w:r>
      <w:r w:rsidR="007B043D" w:rsidRPr="00BD4D80">
        <w:rPr>
          <w:rFonts w:cs="Arial"/>
          <w:b/>
          <w:bCs/>
          <w:i/>
          <w:iCs/>
        </w:rPr>
        <w:t>:</w:t>
      </w:r>
      <w:r w:rsidR="007B043D" w:rsidRPr="002203CC">
        <w:rPr>
          <w:rFonts w:cs="Arial"/>
          <w:i/>
          <w:iCs/>
        </w:rPr>
        <w:t xml:space="preserve"> the </w:t>
      </w:r>
      <w:r w:rsidR="00F6658E" w:rsidRPr="002203CC">
        <w:rPr>
          <w:rFonts w:cs="Arial"/>
          <w:i/>
          <w:iCs/>
        </w:rPr>
        <w:t>scope of each activity (</w:t>
      </w:r>
      <w:proofErr w:type="gramStart"/>
      <w:r w:rsidR="00B73193" w:rsidRPr="002203CC">
        <w:rPr>
          <w:rFonts w:cs="Arial"/>
          <w:i/>
          <w:iCs/>
        </w:rPr>
        <w:t>i.e.</w:t>
      </w:r>
      <w:proofErr w:type="gramEnd"/>
      <w:r w:rsidR="00F6658E" w:rsidRPr="002203CC">
        <w:rPr>
          <w:rFonts w:cs="Arial"/>
          <w:i/>
          <w:iCs/>
        </w:rPr>
        <w:t xml:space="preserve"> </w:t>
      </w:r>
      <w:r w:rsidR="004F0B0E" w:rsidRPr="002203CC">
        <w:rPr>
          <w:rFonts w:cs="Arial"/>
          <w:i/>
          <w:iCs/>
        </w:rPr>
        <w:t xml:space="preserve">number of cases and/or number </w:t>
      </w:r>
      <w:r>
        <w:rPr>
          <w:rFonts w:cs="Arial"/>
          <w:i/>
          <w:iCs/>
        </w:rPr>
        <w:t xml:space="preserve">of </w:t>
      </w:r>
      <w:r w:rsidR="004F0B0E" w:rsidRPr="002203CC">
        <w:rPr>
          <w:rFonts w:cs="Arial"/>
          <w:i/>
          <w:iCs/>
        </w:rPr>
        <w:t xml:space="preserve">days the work will be undertaken for) will </w:t>
      </w:r>
      <w:r w:rsidR="00D72715" w:rsidRPr="002203CC">
        <w:rPr>
          <w:rFonts w:cs="Arial"/>
          <w:i/>
          <w:iCs/>
        </w:rPr>
        <w:t xml:space="preserve">need to be </w:t>
      </w:r>
      <w:r w:rsidR="00E93BC9">
        <w:rPr>
          <w:rFonts w:cs="Arial"/>
          <w:i/>
          <w:iCs/>
        </w:rPr>
        <w:t xml:space="preserve">considered by relevant representatives from internal and external stakeholder </w:t>
      </w:r>
      <w:r w:rsidR="00C74B4B">
        <w:rPr>
          <w:rFonts w:cs="Arial"/>
          <w:i/>
          <w:iCs/>
        </w:rPr>
        <w:t>groups</w:t>
      </w:r>
      <w:r w:rsidR="00E93BC9">
        <w:rPr>
          <w:rFonts w:cs="Arial"/>
          <w:i/>
          <w:iCs/>
        </w:rPr>
        <w:t xml:space="preserve"> and </w:t>
      </w:r>
      <w:r w:rsidR="00D72715" w:rsidRPr="002203CC">
        <w:rPr>
          <w:rFonts w:cs="Arial"/>
          <w:i/>
          <w:iCs/>
        </w:rPr>
        <w:t>agreed b</w:t>
      </w:r>
      <w:r w:rsidR="00E93BC9">
        <w:rPr>
          <w:rFonts w:cs="Arial"/>
          <w:i/>
          <w:iCs/>
        </w:rPr>
        <w:t>y</w:t>
      </w:r>
      <w:r w:rsidR="00D72715" w:rsidRPr="002203CC">
        <w:rPr>
          <w:rFonts w:cs="Arial"/>
          <w:i/>
          <w:iCs/>
        </w:rPr>
        <w:t xml:space="preserve"> the </w:t>
      </w:r>
      <w:r w:rsidR="00E93BC9">
        <w:rPr>
          <w:rFonts w:cs="Arial"/>
          <w:i/>
          <w:iCs/>
        </w:rPr>
        <w:t xml:space="preserve">PSIRF lead and those supporting the response. </w:t>
      </w:r>
      <w:r w:rsidR="00D72715" w:rsidRPr="002203CC">
        <w:rPr>
          <w:rFonts w:cs="Arial"/>
          <w:i/>
          <w:iCs/>
        </w:rPr>
        <w:t xml:space="preserve"> </w:t>
      </w:r>
      <w:r w:rsidR="00E93BC9">
        <w:rPr>
          <w:rFonts w:cs="Arial"/>
          <w:i/>
          <w:iCs/>
        </w:rPr>
        <w:t>T</w:t>
      </w:r>
      <w:r w:rsidR="00D72715" w:rsidRPr="002203CC">
        <w:rPr>
          <w:rFonts w:cs="Arial"/>
          <w:i/>
          <w:iCs/>
        </w:rPr>
        <w:t xml:space="preserve">his can be reviewed as work progresses </w:t>
      </w:r>
      <w:r w:rsidR="002203CC" w:rsidRPr="002203CC">
        <w:rPr>
          <w:rFonts w:cs="Arial"/>
          <w:i/>
          <w:iCs/>
        </w:rPr>
        <w:t>and changed if i</w:t>
      </w:r>
      <w:r w:rsidR="00D72715" w:rsidRPr="002203CC">
        <w:rPr>
          <w:rFonts w:cs="Arial"/>
          <w:i/>
          <w:iCs/>
        </w:rPr>
        <w:t xml:space="preserve">t is felt more or less </w:t>
      </w:r>
      <w:r w:rsidR="002F0ED0" w:rsidRPr="002203CC">
        <w:rPr>
          <w:rFonts w:cs="Arial"/>
          <w:i/>
          <w:iCs/>
        </w:rPr>
        <w:t>activity is needed to generate the insight required to inform improvement</w:t>
      </w:r>
      <w:r w:rsidR="002203CC" w:rsidRPr="002203CC">
        <w:rPr>
          <w:rFonts w:cs="Arial"/>
          <w:i/>
          <w:iCs/>
        </w:rPr>
        <w:t xml:space="preserve">. </w:t>
      </w:r>
    </w:p>
    <w:p w14:paraId="50F8685E" w14:textId="2830B878" w:rsidR="003C0EE9" w:rsidRPr="007168CA" w:rsidRDefault="00106AF7">
      <w:pPr>
        <w:rPr>
          <w:b/>
          <w:bCs/>
        </w:rPr>
      </w:pPr>
      <w:r w:rsidRPr="00C32C49">
        <w:rPr>
          <w:rFonts w:cs="Arial"/>
        </w:rPr>
        <w:t xml:space="preserve">Weekly check of documentation will </w:t>
      </w:r>
      <w:r w:rsidR="00B02E1A" w:rsidRPr="00EB68D5">
        <w:rPr>
          <w:rFonts w:cs="Arial"/>
          <w:b/>
          <w:bCs/>
        </w:rPr>
        <w:t>stop</w:t>
      </w:r>
      <w:r w:rsidR="00B02E1A" w:rsidRPr="005A7496">
        <w:rPr>
          <w:rFonts w:cs="Arial"/>
        </w:rPr>
        <w:t xml:space="preserve"> </w:t>
      </w:r>
      <w:r w:rsidR="000D4B13">
        <w:rPr>
          <w:rFonts w:cs="Arial"/>
        </w:rPr>
        <w:t>to free</w:t>
      </w:r>
      <w:r w:rsidRPr="005A7496">
        <w:rPr>
          <w:rFonts w:cs="Arial"/>
        </w:rPr>
        <w:t xml:space="preserve"> up time</w:t>
      </w:r>
      <w:r w:rsidR="00047580">
        <w:rPr>
          <w:rFonts w:cs="Arial"/>
        </w:rPr>
        <w:t xml:space="preserve"> with</w:t>
      </w:r>
      <w:r w:rsidR="000D4B13">
        <w:rPr>
          <w:rFonts w:cs="Arial"/>
        </w:rPr>
        <w:t>in</w:t>
      </w:r>
      <w:r w:rsidR="00047580">
        <w:rPr>
          <w:rFonts w:cs="Arial"/>
        </w:rPr>
        <w:t xml:space="preserve"> the Tissue Viability Service</w:t>
      </w:r>
      <w:r w:rsidRPr="005A7496">
        <w:rPr>
          <w:rFonts w:cs="Arial"/>
        </w:rPr>
        <w:t xml:space="preserve">. </w:t>
      </w:r>
      <w:r w:rsidR="00D31FD0" w:rsidRPr="005A7496">
        <w:rPr>
          <w:rFonts w:cs="Arial"/>
        </w:rPr>
        <w:t>Instead,</w:t>
      </w:r>
      <w:r w:rsidR="005A3AE9" w:rsidRPr="005A7496">
        <w:rPr>
          <w:rFonts w:cs="Arial"/>
        </w:rPr>
        <w:t xml:space="preserve"> the T</w:t>
      </w:r>
      <w:r w:rsidR="000D4B13">
        <w:rPr>
          <w:rFonts w:cs="Arial"/>
        </w:rPr>
        <w:t>issue Viability Service</w:t>
      </w:r>
      <w:r w:rsidR="00D0263B" w:rsidRPr="005A7496">
        <w:rPr>
          <w:rFonts w:cs="Arial"/>
        </w:rPr>
        <w:t>,</w:t>
      </w:r>
      <w:r w:rsidR="005A3AE9" w:rsidRPr="005A7496">
        <w:rPr>
          <w:rFonts w:cs="Arial"/>
        </w:rPr>
        <w:t xml:space="preserve"> with support from </w:t>
      </w:r>
      <w:r w:rsidR="00E93BC9">
        <w:rPr>
          <w:rFonts w:cs="Arial"/>
        </w:rPr>
        <w:t>relevant colleagues within the Quality Improvement and Patient Safety team (who have relevant experience/skills)</w:t>
      </w:r>
      <w:r w:rsidR="00D0263B" w:rsidRPr="005A7496">
        <w:rPr>
          <w:rFonts w:cs="Arial"/>
        </w:rPr>
        <w:t>,</w:t>
      </w:r>
      <w:r w:rsidR="005A3AE9" w:rsidRPr="005A7496">
        <w:rPr>
          <w:rFonts w:cs="Arial"/>
        </w:rPr>
        <w:t xml:space="preserve"> will </w:t>
      </w:r>
      <w:r w:rsidR="007548EA" w:rsidRPr="00C32C49">
        <w:rPr>
          <w:rFonts w:cs="Arial"/>
        </w:rPr>
        <w:t xml:space="preserve">work with the data analysis team to determine how reports can be </w:t>
      </w:r>
      <w:r w:rsidR="007548EA" w:rsidRPr="00EB68D5">
        <w:rPr>
          <w:rFonts w:cs="Arial"/>
        </w:rPr>
        <w:t>automatically generated to deliver the relevant information from point of care documentation</w:t>
      </w:r>
      <w:r w:rsidR="007168CA" w:rsidRPr="00EB68D5">
        <w:rPr>
          <w:rFonts w:cs="Arial"/>
        </w:rPr>
        <w:t xml:space="preserve"> and feed this back to individual areas via the Trust dashboard system</w:t>
      </w:r>
      <w:r w:rsidR="00237F9C">
        <w:rPr>
          <w:rFonts w:cs="Arial"/>
        </w:rPr>
        <w:t>.</w:t>
      </w:r>
    </w:p>
    <w:p w14:paraId="7F3FDB00" w14:textId="1A4AEC93" w:rsidR="00A317F3" w:rsidRPr="005A7496" w:rsidRDefault="00A317F3" w:rsidP="00A317F3">
      <w:pPr>
        <w:rPr>
          <w:rFonts w:cs="Arial"/>
        </w:rPr>
      </w:pPr>
      <w:r w:rsidRPr="005A7496">
        <w:rPr>
          <w:rFonts w:cs="Arial"/>
        </w:rPr>
        <w:t xml:space="preserve">All PUs </w:t>
      </w:r>
      <w:r w:rsidR="00135C71">
        <w:rPr>
          <w:rFonts w:cs="Arial"/>
        </w:rPr>
        <w:t xml:space="preserve">recorded on the LRMS </w:t>
      </w:r>
      <w:r w:rsidRPr="005A7496">
        <w:rPr>
          <w:rFonts w:cs="Arial"/>
        </w:rPr>
        <w:t>will be</w:t>
      </w:r>
      <w:r w:rsidR="006865B2">
        <w:rPr>
          <w:rFonts w:cs="Arial"/>
        </w:rPr>
        <w:t xml:space="preserve"> </w:t>
      </w:r>
      <w:r w:rsidRPr="00C32C49">
        <w:rPr>
          <w:rFonts w:cs="Arial"/>
        </w:rPr>
        <w:t>read/screened by</w:t>
      </w:r>
      <w:r w:rsidRPr="00EB68D5">
        <w:rPr>
          <w:rFonts w:cs="Arial"/>
        </w:rPr>
        <w:t xml:space="preserve"> the matrons</w:t>
      </w:r>
      <w:r w:rsidRPr="005A7496">
        <w:rPr>
          <w:rFonts w:cs="Arial"/>
        </w:rPr>
        <w:t xml:space="preserve"> (</w:t>
      </w:r>
      <w:r>
        <w:rPr>
          <w:rFonts w:cs="Arial"/>
        </w:rPr>
        <w:t xml:space="preserve">or equivalent </w:t>
      </w:r>
      <w:r w:rsidRPr="005A7496">
        <w:rPr>
          <w:rFonts w:cs="Arial"/>
        </w:rPr>
        <w:t xml:space="preserve">clinical/department lead) to determine: </w:t>
      </w:r>
    </w:p>
    <w:p w14:paraId="450F72A2" w14:textId="77777777" w:rsidR="00426AE6" w:rsidRDefault="00A317F3" w:rsidP="00A317F3">
      <w:pPr>
        <w:pStyle w:val="ListParagraph"/>
        <w:numPr>
          <w:ilvl w:val="0"/>
          <w:numId w:val="8"/>
        </w:numPr>
        <w:rPr>
          <w:rFonts w:cs="Arial"/>
        </w:rPr>
      </w:pPr>
      <w:r w:rsidRPr="005A7496">
        <w:rPr>
          <w:rFonts w:cs="Arial"/>
        </w:rPr>
        <w:t>appropriate level of engagement with everyone affected by a PU</w:t>
      </w:r>
    </w:p>
    <w:p w14:paraId="4FC19160" w14:textId="42E6CB82" w:rsidR="00A317F3" w:rsidRPr="00EB68D5" w:rsidRDefault="00426AE6" w:rsidP="00A317F3">
      <w:pPr>
        <w:pStyle w:val="ListParagraph"/>
        <w:numPr>
          <w:ilvl w:val="0"/>
          <w:numId w:val="8"/>
        </w:numPr>
        <w:rPr>
          <w:rFonts w:cs="Arial"/>
        </w:rPr>
      </w:pPr>
      <w:r>
        <w:rPr>
          <w:rFonts w:cs="Arial"/>
        </w:rPr>
        <w:t>r</w:t>
      </w:r>
      <w:r w:rsidR="00A317F3" w:rsidRPr="005A7496">
        <w:rPr>
          <w:rFonts w:cs="Arial"/>
        </w:rPr>
        <w:t>equirements of</w:t>
      </w:r>
      <w:r w:rsidR="00A317F3" w:rsidRPr="00C32C49">
        <w:rPr>
          <w:rFonts w:cs="Arial"/>
        </w:rPr>
        <w:t xml:space="preserve"> </w:t>
      </w:r>
      <w:hyperlink r:id="rId16" w:history="1">
        <w:r w:rsidR="00A317F3" w:rsidRPr="00295446">
          <w:rPr>
            <w:rStyle w:val="Hyperlink"/>
            <w:rFonts w:cs="Arial"/>
          </w:rPr>
          <w:t>Duty of Candour</w:t>
        </w:r>
      </w:hyperlink>
      <w:r w:rsidR="00A317F3">
        <w:rPr>
          <w:rFonts w:cs="Arial"/>
        </w:rPr>
        <w:t xml:space="preserve"> </w:t>
      </w:r>
      <w:r>
        <w:rPr>
          <w:rFonts w:cs="Arial"/>
        </w:rPr>
        <w:t>are</w:t>
      </w:r>
      <w:r w:rsidR="00A317F3" w:rsidRPr="00EB68D5">
        <w:rPr>
          <w:rFonts w:cs="Arial"/>
        </w:rPr>
        <w:t xml:space="preserve"> fulfilled wherever required </w:t>
      </w:r>
    </w:p>
    <w:p w14:paraId="4FF2EBD0" w14:textId="77777777" w:rsidR="00A317F3" w:rsidRPr="00EB68D5" w:rsidRDefault="00A317F3" w:rsidP="00A317F3">
      <w:pPr>
        <w:pStyle w:val="ListParagraph"/>
        <w:numPr>
          <w:ilvl w:val="0"/>
          <w:numId w:val="8"/>
        </w:numPr>
        <w:rPr>
          <w:rFonts w:cs="Arial"/>
        </w:rPr>
      </w:pPr>
      <w:r w:rsidRPr="00EB68D5">
        <w:rPr>
          <w:rFonts w:cs="Arial"/>
        </w:rPr>
        <w:t xml:space="preserve">if any other referrals need to be made (eg safeguarding etc) </w:t>
      </w:r>
    </w:p>
    <w:p w14:paraId="7C338C04" w14:textId="0A769203" w:rsidR="003C70D1" w:rsidRPr="00954BC3" w:rsidRDefault="00F4046B" w:rsidP="003C70D1">
      <w:pPr>
        <w:pStyle w:val="ListParagraph"/>
        <w:numPr>
          <w:ilvl w:val="0"/>
          <w:numId w:val="8"/>
        </w:numPr>
        <w:rPr>
          <w:rFonts w:cs="Arial"/>
        </w:rPr>
      </w:pPr>
      <w:r>
        <w:rPr>
          <w:rFonts w:cs="Arial"/>
        </w:rPr>
        <w:t xml:space="preserve">if an individual learning response is needed </w:t>
      </w:r>
      <w:r w:rsidR="00A317F3">
        <w:rPr>
          <w:rFonts w:cs="Arial"/>
        </w:rPr>
        <w:t xml:space="preserve">(as described/outlined </w:t>
      </w:r>
      <w:r w:rsidR="00A317F3" w:rsidRPr="00C32C49">
        <w:rPr>
          <w:rFonts w:cs="Arial"/>
        </w:rPr>
        <w:t>by the patient safety incident response plan</w:t>
      </w:r>
      <w:r w:rsidR="00A317F3">
        <w:rPr>
          <w:rFonts w:cs="Arial"/>
        </w:rPr>
        <w:t xml:space="preserve">) </w:t>
      </w:r>
      <w:r w:rsidR="003C70D1" w:rsidRPr="00954BC3">
        <w:rPr>
          <w:rFonts w:cs="Arial"/>
          <w:b/>
          <w:bCs/>
        </w:rPr>
        <w:t>Note:</w:t>
      </w:r>
      <w:r w:rsidR="00EC48C1">
        <w:rPr>
          <w:rFonts w:cs="Arial"/>
          <w:b/>
          <w:bCs/>
        </w:rPr>
        <w:t xml:space="preserve"> Given the agreed response methods, i</w:t>
      </w:r>
      <w:r w:rsidR="003C70D1" w:rsidRPr="00954BC3">
        <w:rPr>
          <w:rFonts w:cs="Arial"/>
          <w:b/>
          <w:bCs/>
        </w:rPr>
        <w:t xml:space="preserve">t is expected that </w:t>
      </w:r>
      <w:r w:rsidR="00C57B4F" w:rsidRPr="00954BC3">
        <w:rPr>
          <w:rFonts w:cs="Arial"/>
          <w:b/>
          <w:bCs/>
        </w:rPr>
        <w:t xml:space="preserve">most </w:t>
      </w:r>
      <w:r w:rsidR="003C70D1" w:rsidRPr="00954BC3">
        <w:rPr>
          <w:rFonts w:cs="Arial"/>
          <w:b/>
          <w:bCs/>
        </w:rPr>
        <w:t xml:space="preserve">PUs will </w:t>
      </w:r>
      <w:r w:rsidR="003C70D1" w:rsidRPr="00954BC3">
        <w:rPr>
          <w:rFonts w:cs="Arial"/>
          <w:b/>
          <w:bCs/>
          <w:u w:val="single"/>
        </w:rPr>
        <w:t>not</w:t>
      </w:r>
      <w:r w:rsidR="003C70D1" w:rsidRPr="00954BC3">
        <w:rPr>
          <w:rFonts w:cs="Arial"/>
          <w:b/>
          <w:bCs/>
        </w:rPr>
        <w:t xml:space="preserve"> require an individual </w:t>
      </w:r>
      <w:r w:rsidR="00F25E66">
        <w:rPr>
          <w:rFonts w:cs="Arial"/>
          <w:b/>
          <w:bCs/>
        </w:rPr>
        <w:t xml:space="preserve">learning </w:t>
      </w:r>
      <w:r w:rsidR="003C70D1" w:rsidRPr="00954BC3">
        <w:rPr>
          <w:rFonts w:cs="Arial"/>
          <w:b/>
          <w:bCs/>
        </w:rPr>
        <w:t>response</w:t>
      </w:r>
      <w:r w:rsidR="003C70D1" w:rsidRPr="00954BC3">
        <w:rPr>
          <w:rFonts w:cs="Arial"/>
        </w:rPr>
        <w:t xml:space="preserve"> except in cases where there is potential for new insight in relation to a new/emerging area of risk.</w:t>
      </w:r>
    </w:p>
    <w:p w14:paraId="5331CBD5" w14:textId="77777777" w:rsidR="00426AE6" w:rsidRDefault="00426AE6">
      <w:pPr>
        <w:rPr>
          <w:rFonts w:eastAsiaTheme="majorEastAsia" w:cstheme="majorBidi"/>
          <w:color w:val="365F91" w:themeColor="accent1" w:themeShade="BF"/>
          <w:sz w:val="32"/>
          <w:szCs w:val="32"/>
        </w:rPr>
      </w:pPr>
      <w:r>
        <w:br w:type="page"/>
      </w:r>
    </w:p>
    <w:p w14:paraId="57EA50C6" w14:textId="045BDCC9" w:rsidR="00A06A4C" w:rsidRDefault="00112B73" w:rsidP="00EB68D5">
      <w:pPr>
        <w:pStyle w:val="Heading1"/>
      </w:pPr>
      <w:bookmarkStart w:id="9" w:name="_Toc118274737"/>
      <w:r>
        <w:lastRenderedPageBreak/>
        <w:t>Completing the patient safety incident response plan template</w:t>
      </w:r>
      <w:bookmarkEnd w:id="9"/>
    </w:p>
    <w:p w14:paraId="6F7F7E59" w14:textId="2E886049" w:rsidR="00A06A4C" w:rsidRPr="00474E0D" w:rsidRDefault="00B02E1A" w:rsidP="0026350F">
      <w:pPr>
        <w:rPr>
          <w:rFonts w:cs="Arial"/>
        </w:rPr>
      </w:pPr>
      <w:r>
        <w:rPr>
          <w:rFonts w:cs="Arial"/>
        </w:rPr>
        <w:t>T</w:t>
      </w:r>
      <w:r w:rsidR="00A06A4C" w:rsidRPr="00474E0D">
        <w:rPr>
          <w:rFonts w:cs="Arial"/>
        </w:rPr>
        <w:t>here are different ways of populating the table</w:t>
      </w:r>
      <w:r w:rsidR="00112B73">
        <w:rPr>
          <w:rFonts w:cs="Arial"/>
        </w:rPr>
        <w:t xml:space="preserve"> in the </w:t>
      </w:r>
      <w:hyperlink r:id="rId17" w:history="1">
        <w:r w:rsidR="00112B73" w:rsidRPr="00426AE6">
          <w:rPr>
            <w:rStyle w:val="Hyperlink"/>
            <w:rFonts w:cs="Arial"/>
          </w:rPr>
          <w:t>patient safety incident response template</w:t>
        </w:r>
      </w:hyperlink>
      <w:r w:rsidR="00112B73">
        <w:rPr>
          <w:rFonts w:cs="Arial"/>
        </w:rPr>
        <w:t>. W</w:t>
      </w:r>
      <w:r w:rsidR="00A06A4C" w:rsidRPr="00474E0D">
        <w:rPr>
          <w:rFonts w:cs="Arial"/>
        </w:rPr>
        <w:t xml:space="preserve">e have used </w:t>
      </w:r>
      <w:r w:rsidR="00474E0D">
        <w:rPr>
          <w:rFonts w:cs="Arial"/>
        </w:rPr>
        <w:t xml:space="preserve">a </w:t>
      </w:r>
      <w:r w:rsidR="00112B73">
        <w:rPr>
          <w:rFonts w:cs="Arial"/>
        </w:rPr>
        <w:t>single row to describe responses to pressure ulcers in general</w:t>
      </w:r>
      <w:r w:rsidR="00A06A4C" w:rsidRPr="00474E0D">
        <w:rPr>
          <w:rFonts w:cs="Arial"/>
        </w:rPr>
        <w:t xml:space="preserve">. The narrative within the </w:t>
      </w:r>
      <w:r w:rsidR="00112B73">
        <w:rPr>
          <w:rFonts w:cs="Arial"/>
        </w:rPr>
        <w:t>patient safety incident response</w:t>
      </w:r>
      <w:r w:rsidR="00A06A4C" w:rsidRPr="00474E0D">
        <w:rPr>
          <w:rFonts w:cs="Arial"/>
        </w:rPr>
        <w:t xml:space="preserve"> policy or plan should clearly describe how incident</w:t>
      </w:r>
      <w:r w:rsidR="00474E0D">
        <w:rPr>
          <w:rFonts w:cs="Arial"/>
        </w:rPr>
        <w:t>s</w:t>
      </w:r>
      <w:r w:rsidR="00A06A4C" w:rsidRPr="00474E0D">
        <w:rPr>
          <w:rFonts w:cs="Arial"/>
        </w:rPr>
        <w:t xml:space="preserve"> will be </w:t>
      </w:r>
      <w:r w:rsidR="00112B73">
        <w:rPr>
          <w:rFonts w:cs="Arial"/>
        </w:rPr>
        <w:t>screened</w:t>
      </w:r>
      <w:r w:rsidR="00A06A4C" w:rsidRPr="00474E0D">
        <w:rPr>
          <w:rFonts w:cs="Arial"/>
        </w:rPr>
        <w:t xml:space="preserve"> to ensure</w:t>
      </w:r>
      <w:r w:rsidR="00112B73">
        <w:rPr>
          <w:rFonts w:cs="Arial"/>
        </w:rPr>
        <w:t xml:space="preserve"> </w:t>
      </w:r>
      <w:r w:rsidR="00474E0D" w:rsidRPr="00474E0D">
        <w:rPr>
          <w:rFonts w:cs="Arial"/>
        </w:rPr>
        <w:t>they are managed appropriately according to the agreed and/or required response methods</w:t>
      </w:r>
      <w:r w:rsidR="00112B73">
        <w:rPr>
          <w:rFonts w:cs="Arial"/>
        </w:rPr>
        <w:t>.</w:t>
      </w:r>
    </w:p>
    <w:p w14:paraId="0B79C810" w14:textId="4A357444" w:rsidR="0026350F" w:rsidRPr="006A1F51" w:rsidRDefault="0026350F" w:rsidP="0026350F">
      <w:pPr>
        <w:rPr>
          <w:rFonts w:cs="Arial"/>
        </w:rPr>
      </w:pPr>
    </w:p>
    <w:tbl>
      <w:tblPr>
        <w:tblW w:w="916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3685"/>
        <w:gridCol w:w="2785"/>
      </w:tblGrid>
      <w:tr w:rsidR="006A1F51" w:rsidRPr="006A1F51" w14:paraId="0683C8D7" w14:textId="77777777" w:rsidTr="003C0EE9">
        <w:tc>
          <w:tcPr>
            <w:tcW w:w="2694" w:type="dxa"/>
            <w:tcBorders>
              <w:top w:val="single" w:sz="6" w:space="0" w:color="8EAADB"/>
              <w:left w:val="single" w:sz="6" w:space="0" w:color="8EAADB"/>
              <w:bottom w:val="single" w:sz="6" w:space="0" w:color="8EAADB"/>
              <w:right w:val="single" w:sz="6" w:space="0" w:color="8EAADB"/>
            </w:tcBorders>
            <w:shd w:val="clear" w:color="auto" w:fill="auto"/>
            <w:hideMark/>
          </w:tcPr>
          <w:p w14:paraId="721843BD" w14:textId="77777777" w:rsidR="006A1F51" w:rsidRPr="006A1F51" w:rsidRDefault="006A1F51" w:rsidP="006A1F51">
            <w:pPr>
              <w:spacing w:after="0" w:line="240" w:lineRule="auto"/>
              <w:textAlignment w:val="baseline"/>
              <w:rPr>
                <w:rFonts w:eastAsia="Times New Roman" w:cs="Arial"/>
                <w:sz w:val="18"/>
                <w:szCs w:val="18"/>
                <w:lang w:eastAsia="en-GB"/>
              </w:rPr>
            </w:pPr>
            <w:bookmarkStart w:id="10" w:name="_Hlk107951804"/>
            <w:r w:rsidRPr="006A1F51">
              <w:rPr>
                <w:rFonts w:eastAsia="Times New Roman" w:cs="Arial"/>
                <w:b/>
                <w:bCs/>
                <w:lang w:eastAsia="en-GB"/>
              </w:rPr>
              <w:t>Patient safety incident type or issue </w:t>
            </w:r>
            <w:r w:rsidRPr="006A1F51">
              <w:rPr>
                <w:rFonts w:eastAsia="Times New Roman" w:cs="Arial"/>
                <w:lang w:eastAsia="en-GB"/>
              </w:rPr>
              <w:t> </w:t>
            </w:r>
          </w:p>
        </w:tc>
        <w:tc>
          <w:tcPr>
            <w:tcW w:w="3685" w:type="dxa"/>
            <w:tcBorders>
              <w:top w:val="single" w:sz="6" w:space="0" w:color="8EAADB"/>
              <w:left w:val="single" w:sz="6" w:space="0" w:color="8EAADB"/>
              <w:bottom w:val="single" w:sz="6" w:space="0" w:color="8EAADB"/>
              <w:right w:val="single" w:sz="6" w:space="0" w:color="8EAADB"/>
            </w:tcBorders>
            <w:shd w:val="clear" w:color="auto" w:fill="auto"/>
            <w:hideMark/>
          </w:tcPr>
          <w:p w14:paraId="27EB9243" w14:textId="77777777" w:rsidR="006A1F51" w:rsidRPr="006A1F51" w:rsidRDefault="006A1F51" w:rsidP="006A1F51">
            <w:pPr>
              <w:spacing w:after="0" w:line="240" w:lineRule="auto"/>
              <w:textAlignment w:val="baseline"/>
              <w:rPr>
                <w:rFonts w:eastAsia="Times New Roman" w:cs="Arial"/>
                <w:sz w:val="18"/>
                <w:szCs w:val="18"/>
                <w:lang w:eastAsia="en-GB"/>
              </w:rPr>
            </w:pPr>
            <w:r w:rsidRPr="006A1F51">
              <w:rPr>
                <w:rFonts w:eastAsia="Times New Roman" w:cs="Arial"/>
                <w:b/>
                <w:bCs/>
                <w:lang w:eastAsia="en-GB"/>
              </w:rPr>
              <w:t>Planned response </w:t>
            </w:r>
            <w:r w:rsidRPr="006A1F51">
              <w:rPr>
                <w:rFonts w:eastAsia="Times New Roman" w:cs="Arial"/>
                <w:lang w:eastAsia="en-GB"/>
              </w:rPr>
              <w:t> </w:t>
            </w:r>
          </w:p>
        </w:tc>
        <w:tc>
          <w:tcPr>
            <w:tcW w:w="2785" w:type="dxa"/>
            <w:tcBorders>
              <w:top w:val="single" w:sz="6" w:space="0" w:color="8EAADB"/>
              <w:left w:val="single" w:sz="6" w:space="0" w:color="8EAADB"/>
              <w:bottom w:val="single" w:sz="6" w:space="0" w:color="8EAADB"/>
              <w:right w:val="single" w:sz="6" w:space="0" w:color="8EAADB"/>
            </w:tcBorders>
            <w:shd w:val="clear" w:color="auto" w:fill="auto"/>
            <w:hideMark/>
          </w:tcPr>
          <w:p w14:paraId="1356DDB3" w14:textId="77777777" w:rsidR="006A1F51" w:rsidRPr="006A1F51" w:rsidRDefault="006A1F51" w:rsidP="006A1F51">
            <w:pPr>
              <w:spacing w:after="0" w:line="240" w:lineRule="auto"/>
              <w:textAlignment w:val="baseline"/>
              <w:rPr>
                <w:rFonts w:eastAsia="Times New Roman" w:cs="Arial"/>
                <w:sz w:val="18"/>
                <w:szCs w:val="18"/>
                <w:lang w:eastAsia="en-GB"/>
              </w:rPr>
            </w:pPr>
            <w:r w:rsidRPr="006A1F51">
              <w:rPr>
                <w:rFonts w:eastAsia="Times New Roman" w:cs="Arial"/>
                <w:b/>
                <w:bCs/>
                <w:lang w:eastAsia="en-GB"/>
              </w:rPr>
              <w:t>Anticipated improvement route</w:t>
            </w:r>
            <w:r w:rsidRPr="006A1F51">
              <w:rPr>
                <w:rFonts w:eastAsia="Times New Roman" w:cs="Arial"/>
                <w:lang w:eastAsia="en-GB"/>
              </w:rPr>
              <w:t> </w:t>
            </w:r>
          </w:p>
        </w:tc>
      </w:tr>
      <w:tr w:rsidR="006A1F51" w:rsidRPr="006A1F51" w14:paraId="7522BE2C" w14:textId="77777777" w:rsidTr="003C0EE9">
        <w:tc>
          <w:tcPr>
            <w:tcW w:w="2694" w:type="dxa"/>
            <w:tcBorders>
              <w:top w:val="single" w:sz="6" w:space="0" w:color="8EAADB"/>
              <w:left w:val="single" w:sz="6" w:space="0" w:color="8EAADB"/>
              <w:bottom w:val="single" w:sz="6" w:space="0" w:color="8EAADB"/>
              <w:right w:val="single" w:sz="6" w:space="0" w:color="8EAADB"/>
            </w:tcBorders>
            <w:shd w:val="clear" w:color="auto" w:fill="auto"/>
            <w:hideMark/>
          </w:tcPr>
          <w:p w14:paraId="08BC850C" w14:textId="163CEEE5" w:rsidR="00D64A30" w:rsidRPr="00EB68D5" w:rsidRDefault="00D64A30" w:rsidP="00EB68D5">
            <w:pPr>
              <w:spacing w:after="0" w:line="240" w:lineRule="auto"/>
              <w:textAlignment w:val="baseline"/>
              <w:rPr>
                <w:rFonts w:eastAsia="Times New Roman" w:cs="Arial"/>
                <w:sz w:val="18"/>
                <w:szCs w:val="18"/>
                <w:lang w:eastAsia="en-GB"/>
              </w:rPr>
            </w:pPr>
            <w:r w:rsidRPr="00D64A30">
              <w:rPr>
                <w:rFonts w:eastAsia="Times New Roman" w:cs="Arial"/>
                <w:lang w:eastAsia="en-GB"/>
              </w:rPr>
              <w:t xml:space="preserve">Pressure ulcers: </w:t>
            </w:r>
          </w:p>
        </w:tc>
        <w:tc>
          <w:tcPr>
            <w:tcW w:w="3685" w:type="dxa"/>
            <w:tcBorders>
              <w:top w:val="single" w:sz="6" w:space="0" w:color="8EAADB"/>
              <w:left w:val="single" w:sz="6" w:space="0" w:color="8EAADB"/>
              <w:bottom w:val="single" w:sz="6" w:space="0" w:color="8EAADB"/>
              <w:right w:val="single" w:sz="6" w:space="0" w:color="8EAADB"/>
            </w:tcBorders>
            <w:shd w:val="clear" w:color="auto" w:fill="auto"/>
            <w:hideMark/>
          </w:tcPr>
          <w:p w14:paraId="3E15A413" w14:textId="556FDB83" w:rsidR="00B02E1A" w:rsidRDefault="00B02E1A" w:rsidP="00112B73">
            <w:pPr>
              <w:pStyle w:val="ListParagraph"/>
              <w:numPr>
                <w:ilvl w:val="0"/>
                <w:numId w:val="10"/>
              </w:numPr>
              <w:rPr>
                <w:rFonts w:cs="Arial"/>
              </w:rPr>
            </w:pPr>
            <w:r>
              <w:rPr>
                <w:rFonts w:cs="Arial"/>
              </w:rPr>
              <w:t>Screening to inform response decision and engagement</w:t>
            </w:r>
          </w:p>
          <w:p w14:paraId="4AA5ED98" w14:textId="29690C9D" w:rsidR="00112B73" w:rsidRDefault="00112B73" w:rsidP="00EB68D5">
            <w:pPr>
              <w:pStyle w:val="ListParagraph"/>
              <w:numPr>
                <w:ilvl w:val="0"/>
                <w:numId w:val="10"/>
              </w:numPr>
              <w:rPr>
                <w:rFonts w:cs="Arial"/>
              </w:rPr>
            </w:pPr>
            <w:r>
              <w:rPr>
                <w:rFonts w:cs="Arial"/>
              </w:rPr>
              <w:t xml:space="preserve">Walkthrough analysis to understand use of repositioning documentation </w:t>
            </w:r>
          </w:p>
          <w:p w14:paraId="5A98C73E" w14:textId="77777777" w:rsidR="00112B73" w:rsidRDefault="00112B73" w:rsidP="00EB68D5">
            <w:pPr>
              <w:pStyle w:val="ListParagraph"/>
              <w:numPr>
                <w:ilvl w:val="0"/>
                <w:numId w:val="10"/>
              </w:numPr>
              <w:rPr>
                <w:rFonts w:cs="Arial"/>
              </w:rPr>
            </w:pPr>
            <w:r>
              <w:rPr>
                <w:rFonts w:cs="Arial"/>
              </w:rPr>
              <w:t>Observations to inform understanding of contextual factors influencing equipment selection and use</w:t>
            </w:r>
          </w:p>
          <w:p w14:paraId="32208C5C" w14:textId="76C72231" w:rsidR="00112B73" w:rsidRDefault="00112B73" w:rsidP="00112B73">
            <w:pPr>
              <w:pStyle w:val="ListParagraph"/>
              <w:numPr>
                <w:ilvl w:val="0"/>
                <w:numId w:val="10"/>
              </w:numPr>
              <w:rPr>
                <w:rFonts w:cs="Arial"/>
              </w:rPr>
            </w:pPr>
            <w:r>
              <w:rPr>
                <w:rFonts w:cs="Arial"/>
              </w:rPr>
              <w:t xml:space="preserve">Observations in peer organisation Royal City Hospital who have reported low prevalence of pressure damage in patients with darker skin  </w:t>
            </w:r>
          </w:p>
          <w:p w14:paraId="4671F04D" w14:textId="109C53DC" w:rsidR="00112B73" w:rsidRPr="0020057F" w:rsidRDefault="00112B73" w:rsidP="00EB68D5">
            <w:pPr>
              <w:pStyle w:val="ListParagraph"/>
              <w:numPr>
                <w:ilvl w:val="0"/>
                <w:numId w:val="10"/>
              </w:numPr>
              <w:rPr>
                <w:rFonts w:cs="Arial"/>
              </w:rPr>
            </w:pPr>
            <w:r>
              <w:rPr>
                <w:rFonts w:cs="Arial"/>
              </w:rPr>
              <w:t>Continued monitoring of patient safety incident records to determine any emerging risks/issues</w:t>
            </w:r>
          </w:p>
          <w:p w14:paraId="2F779779" w14:textId="77777777" w:rsidR="00E74013" w:rsidRDefault="00E74013" w:rsidP="00E74013">
            <w:pPr>
              <w:rPr>
                <w:rFonts w:cs="Arial"/>
                <w:highlight w:val="yellow"/>
              </w:rPr>
            </w:pPr>
          </w:p>
          <w:p w14:paraId="219E8D9D" w14:textId="77777777" w:rsidR="00E74013" w:rsidRDefault="00E74013" w:rsidP="00E74013">
            <w:pPr>
              <w:rPr>
                <w:rFonts w:cs="Arial"/>
                <w:highlight w:val="yellow"/>
              </w:rPr>
            </w:pPr>
          </w:p>
          <w:p w14:paraId="4348E5E4" w14:textId="05D48BD4" w:rsidR="006A1F51" w:rsidRPr="006A1F51" w:rsidRDefault="006A1F51" w:rsidP="00EB68D5">
            <w:pPr>
              <w:rPr>
                <w:rFonts w:eastAsia="Times New Roman" w:cs="Arial"/>
                <w:sz w:val="18"/>
                <w:szCs w:val="18"/>
                <w:lang w:eastAsia="en-GB"/>
              </w:rPr>
            </w:pPr>
          </w:p>
        </w:tc>
        <w:tc>
          <w:tcPr>
            <w:tcW w:w="2785" w:type="dxa"/>
            <w:tcBorders>
              <w:top w:val="single" w:sz="6" w:space="0" w:color="8EAADB"/>
              <w:left w:val="single" w:sz="6" w:space="0" w:color="8EAADB"/>
              <w:bottom w:val="single" w:sz="6" w:space="0" w:color="8EAADB"/>
              <w:right w:val="single" w:sz="6" w:space="0" w:color="8EAADB"/>
            </w:tcBorders>
            <w:shd w:val="clear" w:color="auto" w:fill="auto"/>
            <w:hideMark/>
          </w:tcPr>
          <w:p w14:paraId="0BA2E780" w14:textId="3016F78F" w:rsidR="00112B73" w:rsidRDefault="00112B73" w:rsidP="006A1F51">
            <w:pPr>
              <w:spacing w:after="0" w:line="240" w:lineRule="auto"/>
              <w:textAlignment w:val="baseline"/>
              <w:rPr>
                <w:rFonts w:eastAsia="Times New Roman" w:cs="Arial"/>
                <w:lang w:eastAsia="en-GB"/>
              </w:rPr>
            </w:pPr>
            <w:r>
              <w:rPr>
                <w:rFonts w:eastAsia="Times New Roman" w:cs="Arial"/>
                <w:lang w:eastAsia="en-GB"/>
              </w:rPr>
              <w:t>Build case for improvement plan</w:t>
            </w:r>
          </w:p>
          <w:p w14:paraId="7248FCDC" w14:textId="77777777" w:rsidR="00112B73" w:rsidRDefault="00112B73" w:rsidP="006A1F51">
            <w:pPr>
              <w:spacing w:after="0" w:line="240" w:lineRule="auto"/>
              <w:textAlignment w:val="baseline"/>
              <w:rPr>
                <w:rFonts w:eastAsia="Times New Roman" w:cs="Arial"/>
                <w:lang w:eastAsia="en-GB"/>
              </w:rPr>
            </w:pPr>
          </w:p>
          <w:p w14:paraId="5EA82F12" w14:textId="278FB2AA" w:rsidR="006A1F51" w:rsidRPr="006A1F51" w:rsidRDefault="006A1F51" w:rsidP="006A1F51">
            <w:pPr>
              <w:spacing w:after="0" w:line="240" w:lineRule="auto"/>
              <w:textAlignment w:val="baseline"/>
              <w:rPr>
                <w:rFonts w:eastAsia="Times New Roman" w:cs="Arial"/>
                <w:sz w:val="18"/>
                <w:szCs w:val="18"/>
                <w:lang w:eastAsia="en-GB"/>
              </w:rPr>
            </w:pPr>
            <w:r w:rsidRPr="006A1F51">
              <w:rPr>
                <w:rFonts w:eastAsia="Times New Roman" w:cs="Arial"/>
                <w:lang w:eastAsia="en-GB"/>
              </w:rPr>
              <w:t> </w:t>
            </w:r>
          </w:p>
        </w:tc>
      </w:tr>
      <w:bookmarkEnd w:id="10"/>
    </w:tbl>
    <w:p w14:paraId="786AD43C" w14:textId="77777777" w:rsidR="00D64A30" w:rsidRPr="006A1F51" w:rsidRDefault="00D64A30" w:rsidP="0026350F">
      <w:pPr>
        <w:rPr>
          <w:rFonts w:cs="Arial"/>
        </w:rPr>
      </w:pPr>
    </w:p>
    <w:p w14:paraId="65D58AD7" w14:textId="37CE75DD" w:rsidR="00112B73" w:rsidRPr="001E5423" w:rsidRDefault="00426AE6" w:rsidP="0026350F">
      <w:pPr>
        <w:rPr>
          <w:rFonts w:cs="Arial"/>
        </w:rPr>
      </w:pPr>
      <w:r w:rsidRPr="00BD4D80">
        <w:rPr>
          <w:rFonts w:cs="Arial"/>
          <w:b/>
          <w:bCs/>
        </w:rPr>
        <w:t>Note</w:t>
      </w:r>
      <w:r w:rsidR="00E93BC9" w:rsidRPr="001E5423">
        <w:rPr>
          <w:rFonts w:cs="Arial"/>
        </w:rPr>
        <w:t xml:space="preserve">: the full draft Patient safety incident response plan must be considered and agreed by relevant representatives from internal and external stakeholder groups before being approved by the trust board. The relevant lead within the Integrated Care Board – who </w:t>
      </w:r>
      <w:r w:rsidR="00F01F31">
        <w:rPr>
          <w:rFonts w:cs="Arial"/>
        </w:rPr>
        <w:t xml:space="preserve">must have been </w:t>
      </w:r>
      <w:r w:rsidR="00E93BC9" w:rsidRPr="001E5423">
        <w:rPr>
          <w:rFonts w:cs="Arial"/>
        </w:rPr>
        <w:t xml:space="preserve">involved in the development of the plan – will sign off the documentation and work with the PSIRF lead (and other board members as required) to agreed a </w:t>
      </w:r>
      <w:r w:rsidR="001617DA" w:rsidRPr="001E5423">
        <w:rPr>
          <w:rFonts w:cs="Arial"/>
        </w:rPr>
        <w:t xml:space="preserve">transition date. Final documentation must be published on the provider organisations website. Further details to support curation and agreement of the patient safety incident response policy and plan are available:  </w:t>
      </w:r>
      <w:hyperlink r:id="rId18" w:history="1">
        <w:r w:rsidR="001617DA" w:rsidRPr="001617DA">
          <w:rPr>
            <w:color w:val="0000FF"/>
            <w:u w:val="single"/>
          </w:rPr>
          <w:t>B1465-6.-PSIRF-Prep-Guide-v1-FINAL.pdf (england.nhs.uk)</w:t>
        </w:r>
      </w:hyperlink>
    </w:p>
    <w:p w14:paraId="39BD9FE1" w14:textId="373A5056" w:rsidR="0013484E" w:rsidRPr="006A1F51" w:rsidRDefault="00253825" w:rsidP="00EB68D5">
      <w:pPr>
        <w:pStyle w:val="Heading1"/>
      </w:pPr>
      <w:bookmarkStart w:id="11" w:name="_Toc118274738"/>
      <w:r w:rsidRPr="006A1F51">
        <w:lastRenderedPageBreak/>
        <w:t>A living and responsive plan</w:t>
      </w:r>
      <w:bookmarkEnd w:id="11"/>
    </w:p>
    <w:p w14:paraId="131A146D" w14:textId="751BB8D7" w:rsidR="00112B73" w:rsidRDefault="00112B73" w:rsidP="0026350F">
      <w:pPr>
        <w:rPr>
          <w:rFonts w:cs="Arial"/>
        </w:rPr>
      </w:pPr>
      <w:r>
        <w:rPr>
          <w:rFonts w:cs="Arial"/>
        </w:rPr>
        <w:t>Six months after publishing their patient safety incident response plan</w:t>
      </w:r>
      <w:r w:rsidR="00C32C49">
        <w:rPr>
          <w:rFonts w:cs="Arial"/>
        </w:rPr>
        <w:t xml:space="preserve">, the </w:t>
      </w:r>
      <w:r w:rsidR="001A552D">
        <w:rPr>
          <w:rFonts w:cs="Arial"/>
        </w:rPr>
        <w:t>T</w:t>
      </w:r>
      <w:r w:rsidR="00C32C49">
        <w:rPr>
          <w:rFonts w:cs="Arial"/>
        </w:rPr>
        <w:t xml:space="preserve">issue </w:t>
      </w:r>
      <w:r w:rsidR="001A552D">
        <w:rPr>
          <w:rFonts w:cs="Arial"/>
        </w:rPr>
        <w:t>V</w:t>
      </w:r>
      <w:r w:rsidR="00C32C49">
        <w:rPr>
          <w:rFonts w:cs="Arial"/>
        </w:rPr>
        <w:t xml:space="preserve">iability </w:t>
      </w:r>
      <w:r w:rsidR="001A552D">
        <w:rPr>
          <w:rFonts w:cs="Arial"/>
        </w:rPr>
        <w:t>S</w:t>
      </w:r>
      <w:r w:rsidR="00C32C49">
        <w:rPr>
          <w:rFonts w:cs="Arial"/>
        </w:rPr>
        <w:t xml:space="preserve">ervice </w:t>
      </w:r>
      <w:r>
        <w:rPr>
          <w:rFonts w:cs="Arial"/>
        </w:rPr>
        <w:t>(via continued monitoring of patient safety incident records) notice</w:t>
      </w:r>
      <w:r w:rsidR="00C32C49">
        <w:rPr>
          <w:rFonts w:cs="Arial"/>
        </w:rPr>
        <w:t xml:space="preserve"> </w:t>
      </w:r>
      <w:r w:rsidR="00113D03" w:rsidRPr="006A1F51">
        <w:rPr>
          <w:rFonts w:cs="Arial"/>
        </w:rPr>
        <w:t xml:space="preserve">an increase </w:t>
      </w:r>
      <w:r w:rsidR="003E75DF" w:rsidRPr="006A1F51">
        <w:rPr>
          <w:rFonts w:cs="Arial"/>
        </w:rPr>
        <w:t>in</w:t>
      </w:r>
      <w:r w:rsidR="00113D03" w:rsidRPr="006A1F51">
        <w:rPr>
          <w:rFonts w:cs="Arial"/>
        </w:rPr>
        <w:t xml:space="preserve"> patients being </w:t>
      </w:r>
      <w:r w:rsidR="00113D03" w:rsidRPr="00EB68D5">
        <w:rPr>
          <w:rFonts w:cs="Arial"/>
          <w:b/>
          <w:bCs/>
        </w:rPr>
        <w:t>admitted with PU</w:t>
      </w:r>
      <w:r w:rsidR="0092128E" w:rsidRPr="006A1F51">
        <w:rPr>
          <w:rFonts w:cs="Arial"/>
        </w:rPr>
        <w:t xml:space="preserve">. </w:t>
      </w:r>
    </w:p>
    <w:p w14:paraId="77D46226" w14:textId="43A9E839" w:rsidR="0046747F" w:rsidRDefault="0092128E" w:rsidP="0026350F">
      <w:pPr>
        <w:rPr>
          <w:rFonts w:cs="Arial"/>
        </w:rPr>
      </w:pPr>
      <w:r w:rsidRPr="006A1F51">
        <w:rPr>
          <w:rFonts w:cs="Arial"/>
        </w:rPr>
        <w:t>The</w:t>
      </w:r>
      <w:r w:rsidR="00112B73">
        <w:rPr>
          <w:rFonts w:cs="Arial"/>
        </w:rPr>
        <w:t xml:space="preserve"> </w:t>
      </w:r>
      <w:r w:rsidR="001A552D">
        <w:rPr>
          <w:rFonts w:cs="Arial"/>
        </w:rPr>
        <w:t>T</w:t>
      </w:r>
      <w:r w:rsidR="00112B73">
        <w:rPr>
          <w:rFonts w:cs="Arial"/>
        </w:rPr>
        <w:t xml:space="preserve">issue </w:t>
      </w:r>
      <w:r w:rsidR="001A552D">
        <w:rPr>
          <w:rFonts w:cs="Arial"/>
        </w:rPr>
        <w:t>V</w:t>
      </w:r>
      <w:r w:rsidR="00112B73">
        <w:rPr>
          <w:rFonts w:cs="Arial"/>
        </w:rPr>
        <w:t xml:space="preserve">iability </w:t>
      </w:r>
      <w:r w:rsidR="001A552D">
        <w:rPr>
          <w:rFonts w:cs="Arial"/>
        </w:rPr>
        <w:t>S</w:t>
      </w:r>
      <w:r w:rsidR="00112B73">
        <w:rPr>
          <w:rFonts w:cs="Arial"/>
        </w:rPr>
        <w:t>ervice notifies the patient safety team</w:t>
      </w:r>
      <w:r w:rsidR="00F01F31">
        <w:rPr>
          <w:rFonts w:cs="Arial"/>
        </w:rPr>
        <w:t xml:space="preserve"> and PSIRF lead</w:t>
      </w:r>
      <w:r w:rsidRPr="006A1F51">
        <w:rPr>
          <w:rFonts w:cs="Arial"/>
        </w:rPr>
        <w:t xml:space="preserve"> </w:t>
      </w:r>
      <w:r w:rsidR="0046747F">
        <w:rPr>
          <w:rFonts w:cs="Arial"/>
        </w:rPr>
        <w:t xml:space="preserve">to enable </w:t>
      </w:r>
      <w:r w:rsidRPr="006A1F51">
        <w:rPr>
          <w:rFonts w:cs="Arial"/>
        </w:rPr>
        <w:t>explor</w:t>
      </w:r>
      <w:r w:rsidR="0046747F">
        <w:rPr>
          <w:rFonts w:cs="Arial"/>
        </w:rPr>
        <w:t>ation of</w:t>
      </w:r>
      <w:r w:rsidRPr="006A1F51">
        <w:rPr>
          <w:rFonts w:cs="Arial"/>
        </w:rPr>
        <w:t xml:space="preserve"> this with the</w:t>
      </w:r>
      <w:r w:rsidR="00777AE0">
        <w:rPr>
          <w:rFonts w:cs="Arial"/>
        </w:rPr>
        <w:t xml:space="preserve"> relevant ICB lead</w:t>
      </w:r>
      <w:r w:rsidR="00F01F31">
        <w:rPr>
          <w:rFonts w:cs="Arial"/>
        </w:rPr>
        <w:t xml:space="preserve"> (for patient safety)</w:t>
      </w:r>
      <w:r w:rsidR="00223A49">
        <w:rPr>
          <w:rFonts w:cs="Arial"/>
        </w:rPr>
        <w:t xml:space="preserve"> and</w:t>
      </w:r>
      <w:r w:rsidR="00F01F31">
        <w:rPr>
          <w:rFonts w:cs="Arial"/>
        </w:rPr>
        <w:t xml:space="preserve"> other members of the small focus group that supported data analysis during the development of the patient safety incident response plan</w:t>
      </w:r>
      <w:r w:rsidR="008A14D1">
        <w:rPr>
          <w:rFonts w:cs="Arial"/>
        </w:rPr>
        <w:t>.</w:t>
      </w:r>
    </w:p>
    <w:p w14:paraId="770F86FE" w14:textId="552E77A8" w:rsidR="003C0EE9" w:rsidRDefault="0046747F" w:rsidP="0026350F">
      <w:pPr>
        <w:rPr>
          <w:rFonts w:cs="Arial"/>
        </w:rPr>
      </w:pPr>
      <w:r>
        <w:rPr>
          <w:rFonts w:cs="Arial"/>
        </w:rPr>
        <w:t xml:space="preserve">The </w:t>
      </w:r>
      <w:r w:rsidR="009B1FA1" w:rsidRPr="006A1F51">
        <w:rPr>
          <w:rFonts w:cs="Arial"/>
        </w:rPr>
        <w:t xml:space="preserve">ICB </w:t>
      </w:r>
      <w:r w:rsidR="00F01F31">
        <w:rPr>
          <w:rFonts w:cs="Arial"/>
        </w:rPr>
        <w:t xml:space="preserve">lead </w:t>
      </w:r>
      <w:r w:rsidR="009B1FA1" w:rsidRPr="006A1F51">
        <w:rPr>
          <w:rFonts w:cs="Arial"/>
        </w:rPr>
        <w:t>undertake</w:t>
      </w:r>
      <w:r w:rsidR="00F01F31">
        <w:rPr>
          <w:rFonts w:cs="Arial"/>
        </w:rPr>
        <w:t>s</w:t>
      </w:r>
      <w:r w:rsidR="009B1FA1" w:rsidRPr="006A1F51">
        <w:rPr>
          <w:rFonts w:cs="Arial"/>
        </w:rPr>
        <w:t xml:space="preserve"> a</w:t>
      </w:r>
      <w:r w:rsidR="009406A7" w:rsidRPr="006A1F51">
        <w:rPr>
          <w:rFonts w:cs="Arial"/>
        </w:rPr>
        <w:t>nalysis o</w:t>
      </w:r>
      <w:r w:rsidR="009B1FA1" w:rsidRPr="006A1F51">
        <w:rPr>
          <w:rFonts w:cs="Arial"/>
        </w:rPr>
        <w:t>f</w:t>
      </w:r>
      <w:r w:rsidR="009406A7" w:rsidRPr="006A1F51">
        <w:rPr>
          <w:rFonts w:cs="Arial"/>
        </w:rPr>
        <w:t xml:space="preserve"> data </w:t>
      </w:r>
      <w:r w:rsidR="009B1FA1" w:rsidRPr="006A1F51">
        <w:rPr>
          <w:rFonts w:cs="Arial"/>
        </w:rPr>
        <w:t xml:space="preserve">which </w:t>
      </w:r>
      <w:r w:rsidR="009406A7" w:rsidRPr="006A1F51">
        <w:rPr>
          <w:rFonts w:cs="Arial"/>
        </w:rPr>
        <w:t xml:space="preserve">shows increase </w:t>
      </w:r>
      <w:r w:rsidR="003E75DF" w:rsidRPr="006A1F51">
        <w:rPr>
          <w:rFonts w:cs="Arial"/>
        </w:rPr>
        <w:t xml:space="preserve">in </w:t>
      </w:r>
      <w:r w:rsidR="009B1FA1" w:rsidRPr="006A1F51">
        <w:rPr>
          <w:rFonts w:cs="Arial"/>
        </w:rPr>
        <w:t xml:space="preserve">PU prevalence </w:t>
      </w:r>
      <w:r w:rsidR="0048340B" w:rsidRPr="006A1F51">
        <w:rPr>
          <w:rFonts w:cs="Arial"/>
        </w:rPr>
        <w:t>and incident</w:t>
      </w:r>
      <w:r w:rsidR="006822B9">
        <w:rPr>
          <w:rFonts w:cs="Arial"/>
        </w:rPr>
        <w:t>s</w:t>
      </w:r>
      <w:r w:rsidR="0048340B" w:rsidRPr="006A1F51">
        <w:rPr>
          <w:rFonts w:cs="Arial"/>
        </w:rPr>
        <w:t xml:space="preserve"> </w:t>
      </w:r>
      <w:r w:rsidR="00BE02DF" w:rsidRPr="006A1F51">
        <w:rPr>
          <w:rFonts w:cs="Arial"/>
        </w:rPr>
        <w:t xml:space="preserve">recorded by </w:t>
      </w:r>
      <w:r w:rsidR="0048340B" w:rsidRPr="006A1F51">
        <w:rPr>
          <w:rFonts w:cs="Arial"/>
        </w:rPr>
        <w:t>community/district nursing team particularly in the Great Valley region</w:t>
      </w:r>
      <w:r w:rsidR="00BE02DF" w:rsidRPr="006A1F51">
        <w:rPr>
          <w:rFonts w:cs="Arial"/>
        </w:rPr>
        <w:t xml:space="preserve">. </w:t>
      </w:r>
    </w:p>
    <w:p w14:paraId="0B44D5D5" w14:textId="536EF08F" w:rsidR="0046747F" w:rsidRDefault="00F01F31">
      <w:pPr>
        <w:rPr>
          <w:rFonts w:cs="Arial"/>
        </w:rPr>
      </w:pPr>
      <w:r>
        <w:rPr>
          <w:rFonts w:cs="Arial"/>
        </w:rPr>
        <w:t>This is discussed between the PSIRF</w:t>
      </w:r>
      <w:r w:rsidR="008A14D1">
        <w:rPr>
          <w:rFonts w:cs="Arial"/>
        </w:rPr>
        <w:t>,</w:t>
      </w:r>
      <w:r>
        <w:rPr>
          <w:rFonts w:cs="Arial"/>
        </w:rPr>
        <w:t xml:space="preserve"> I</w:t>
      </w:r>
      <w:r w:rsidR="008A14D1">
        <w:rPr>
          <w:rFonts w:cs="Arial"/>
        </w:rPr>
        <w:t>CB</w:t>
      </w:r>
      <w:r>
        <w:rPr>
          <w:rFonts w:cs="Arial"/>
        </w:rPr>
        <w:t xml:space="preserve"> lead and members of the small focus group. </w:t>
      </w:r>
      <w:r w:rsidR="005F4153" w:rsidRPr="006A1F51">
        <w:rPr>
          <w:rFonts w:cs="Arial"/>
        </w:rPr>
        <w:t xml:space="preserve">At this stage it is agreed that </w:t>
      </w:r>
      <w:r w:rsidR="00F47EF4">
        <w:rPr>
          <w:rFonts w:cs="Arial"/>
        </w:rPr>
        <w:t xml:space="preserve">United </w:t>
      </w:r>
      <w:proofErr w:type="spellStart"/>
      <w:r w:rsidR="00F47EF4">
        <w:rPr>
          <w:rFonts w:cs="Arial"/>
        </w:rPr>
        <w:t>Holby</w:t>
      </w:r>
      <w:proofErr w:type="spellEnd"/>
      <w:r w:rsidR="00F47EF4">
        <w:rPr>
          <w:rFonts w:cs="Arial"/>
        </w:rPr>
        <w:t xml:space="preserve"> Trust</w:t>
      </w:r>
      <w:r w:rsidR="005F4153" w:rsidRPr="006A1F51">
        <w:rPr>
          <w:rFonts w:cs="Arial"/>
        </w:rPr>
        <w:t xml:space="preserve"> will </w:t>
      </w:r>
      <w:r w:rsidR="006E3E90" w:rsidRPr="006A1F51">
        <w:rPr>
          <w:rFonts w:cs="Arial"/>
        </w:rPr>
        <w:t xml:space="preserve">continue without any changes </w:t>
      </w:r>
      <w:r w:rsidR="00910287">
        <w:rPr>
          <w:rFonts w:cs="Arial"/>
        </w:rPr>
        <w:t xml:space="preserve">to their </w:t>
      </w:r>
      <w:r w:rsidR="0046747F">
        <w:rPr>
          <w:rFonts w:cs="Arial"/>
        </w:rPr>
        <w:t>patient safety incident response plan</w:t>
      </w:r>
      <w:r w:rsidR="00910287">
        <w:rPr>
          <w:rFonts w:cs="Arial"/>
        </w:rPr>
        <w:t xml:space="preserve"> </w:t>
      </w:r>
      <w:r w:rsidR="006E3E90" w:rsidRPr="006A1F51">
        <w:rPr>
          <w:rFonts w:cs="Arial"/>
        </w:rPr>
        <w:t xml:space="preserve">and that the ICB will explore the issue. </w:t>
      </w:r>
    </w:p>
    <w:p w14:paraId="1FA38F99" w14:textId="16766B16" w:rsidR="008A14D1" w:rsidRDefault="003C0EE9" w:rsidP="008A14D1">
      <w:pPr>
        <w:rPr>
          <w:rFonts w:cs="Arial"/>
          <w:b/>
          <w:bCs/>
        </w:rPr>
      </w:pPr>
      <w:r w:rsidRPr="006A1F51">
        <w:rPr>
          <w:rFonts w:cs="Arial"/>
        </w:rPr>
        <w:t>The</w:t>
      </w:r>
      <w:r>
        <w:rPr>
          <w:rFonts w:cs="Arial"/>
        </w:rPr>
        <w:t xml:space="preserve"> ICB</w:t>
      </w:r>
      <w:r w:rsidRPr="006A1F51">
        <w:rPr>
          <w:rFonts w:cs="Arial"/>
        </w:rPr>
        <w:t xml:space="preserve"> </w:t>
      </w:r>
      <w:r w:rsidR="00F01F31">
        <w:rPr>
          <w:rFonts w:cs="Arial"/>
        </w:rPr>
        <w:t xml:space="preserve">lead </w:t>
      </w:r>
      <w:r w:rsidRPr="006A1F51">
        <w:rPr>
          <w:rFonts w:cs="Arial"/>
        </w:rPr>
        <w:t>agree</w:t>
      </w:r>
      <w:r w:rsidR="00F01F31">
        <w:rPr>
          <w:rFonts w:cs="Arial"/>
        </w:rPr>
        <w:t>s</w:t>
      </w:r>
      <w:r w:rsidRPr="006A1F51">
        <w:rPr>
          <w:rFonts w:cs="Arial"/>
        </w:rPr>
        <w:t xml:space="preserve"> to </w:t>
      </w:r>
      <w:r>
        <w:rPr>
          <w:rFonts w:cs="Arial"/>
        </w:rPr>
        <w:t>facilitate</w:t>
      </w:r>
      <w:r w:rsidR="008A14D1">
        <w:rPr>
          <w:rFonts w:cs="Arial"/>
        </w:rPr>
        <w:t xml:space="preserve"> a</w:t>
      </w:r>
      <w:r w:rsidR="00910287" w:rsidRPr="00BD4D80">
        <w:rPr>
          <w:rFonts w:cs="Arial"/>
        </w:rPr>
        <w:t xml:space="preserve"> </w:t>
      </w:r>
      <w:r w:rsidR="0046747F" w:rsidRPr="00BD4D80">
        <w:rPr>
          <w:rFonts w:cs="Arial"/>
        </w:rPr>
        <w:t>multi-disciplinary team review</w:t>
      </w:r>
      <w:r w:rsidR="00910287" w:rsidRPr="00BD4D80">
        <w:rPr>
          <w:rFonts w:cs="Arial"/>
        </w:rPr>
        <w:t xml:space="preserve"> </w:t>
      </w:r>
      <w:r w:rsidRPr="00BD4D80">
        <w:rPr>
          <w:rFonts w:cs="Arial"/>
        </w:rPr>
        <w:t>to explore the issues in more detail</w:t>
      </w:r>
      <w:r w:rsidR="00047580" w:rsidRPr="00BD4D80">
        <w:rPr>
          <w:rFonts w:cs="Arial"/>
        </w:rPr>
        <w:t>. This will include a review of data includ</w:t>
      </w:r>
      <w:r w:rsidR="00047580" w:rsidRPr="008A14D1">
        <w:rPr>
          <w:rFonts w:cs="Arial"/>
        </w:rPr>
        <w:t>ing:</w:t>
      </w:r>
    </w:p>
    <w:p w14:paraId="13269484" w14:textId="72CE3FAA" w:rsidR="008A14D1" w:rsidRDefault="00047580" w:rsidP="00BD4D80">
      <w:pPr>
        <w:pStyle w:val="ListParagraph"/>
        <w:numPr>
          <w:ilvl w:val="0"/>
          <w:numId w:val="17"/>
        </w:numPr>
      </w:pPr>
      <w:r w:rsidRPr="00BD4D80">
        <w:rPr>
          <w:rFonts w:cs="Arial"/>
        </w:rPr>
        <w:t>Quality outcomes data (</w:t>
      </w:r>
      <w:r w:rsidR="00383456" w:rsidRPr="00BD4D80">
        <w:rPr>
          <w:rFonts w:cs="Arial"/>
        </w:rPr>
        <w:t xml:space="preserve">extracted from a local system by local analysts) </w:t>
      </w:r>
    </w:p>
    <w:p w14:paraId="02349248" w14:textId="3FEADBCE" w:rsidR="008A14D1" w:rsidRPr="00BD4D80" w:rsidRDefault="00047580" w:rsidP="00BD4D80">
      <w:pPr>
        <w:pStyle w:val="ListParagraph"/>
        <w:numPr>
          <w:ilvl w:val="0"/>
          <w:numId w:val="17"/>
        </w:numPr>
      </w:pPr>
      <w:r w:rsidRPr="00BD4D80">
        <w:rPr>
          <w:rFonts w:cs="Arial"/>
        </w:rPr>
        <w:t>NHS benchmarking data (including staffing/staff vacancies)</w:t>
      </w:r>
    </w:p>
    <w:p w14:paraId="5EE0CB3F" w14:textId="29D9F144" w:rsidR="00C047D1" w:rsidRPr="00BD4D80" w:rsidRDefault="00047580" w:rsidP="00BD4D80">
      <w:pPr>
        <w:pStyle w:val="ListParagraph"/>
        <w:numPr>
          <w:ilvl w:val="0"/>
          <w:numId w:val="17"/>
        </w:numPr>
        <w:rPr>
          <w:rFonts w:cs="Arial"/>
        </w:rPr>
      </w:pPr>
      <w:r w:rsidRPr="00BD4D80">
        <w:rPr>
          <w:rFonts w:cs="Arial"/>
        </w:rPr>
        <w:t xml:space="preserve">Demand/ referral rate to adult community provider </w:t>
      </w:r>
    </w:p>
    <w:p w14:paraId="094AFF22" w14:textId="58D3CDB6" w:rsidR="00B26D86" w:rsidRPr="005A7496" w:rsidRDefault="0046747F">
      <w:pPr>
        <w:rPr>
          <w:rFonts w:cs="Arial"/>
        </w:rPr>
      </w:pPr>
      <w:r>
        <w:rPr>
          <w:rFonts w:cs="Arial"/>
        </w:rPr>
        <w:t xml:space="preserve">Findings </w:t>
      </w:r>
      <w:r w:rsidR="00A110C3">
        <w:rPr>
          <w:rFonts w:cs="Arial"/>
        </w:rPr>
        <w:t xml:space="preserve">will be </w:t>
      </w:r>
      <w:r w:rsidR="00F01F31">
        <w:rPr>
          <w:rFonts w:cs="Arial"/>
        </w:rPr>
        <w:t xml:space="preserve">considered </w:t>
      </w:r>
      <w:r w:rsidR="00A110C3">
        <w:rPr>
          <w:rFonts w:cs="Arial"/>
        </w:rPr>
        <w:t>by a safety action development group</w:t>
      </w:r>
      <w:r w:rsidR="00223A49">
        <w:rPr>
          <w:rFonts w:cs="Arial"/>
        </w:rPr>
        <w:t xml:space="preserve"> (which include both internal and external stakeholders)</w:t>
      </w:r>
      <w:r w:rsidR="00A110C3">
        <w:rPr>
          <w:rFonts w:cs="Arial"/>
        </w:rPr>
        <w:t>, coordinated and facilitated by the</w:t>
      </w:r>
      <w:r w:rsidR="00672693">
        <w:rPr>
          <w:rFonts w:cs="Arial"/>
        </w:rPr>
        <w:t xml:space="preserve"> </w:t>
      </w:r>
      <w:r w:rsidR="00A110C3">
        <w:rPr>
          <w:rFonts w:cs="Arial"/>
        </w:rPr>
        <w:t xml:space="preserve">ICB lead. Guidance outlined in the </w:t>
      </w:r>
      <w:hyperlink r:id="rId19" w:history="1">
        <w:r w:rsidR="00A110C3" w:rsidRPr="00601CB8">
          <w:rPr>
            <w:rStyle w:val="Hyperlink"/>
            <w:rFonts w:cs="Arial"/>
          </w:rPr>
          <w:t>safety action development guide</w:t>
        </w:r>
      </w:hyperlink>
      <w:r w:rsidR="00A110C3">
        <w:rPr>
          <w:rFonts w:cs="Arial"/>
        </w:rPr>
        <w:t xml:space="preserve"> </w:t>
      </w:r>
      <w:r>
        <w:rPr>
          <w:rFonts w:cs="Arial"/>
        </w:rPr>
        <w:t>will inform the development of any safety actions</w:t>
      </w:r>
      <w:r w:rsidR="00A110C3">
        <w:rPr>
          <w:rFonts w:cs="Arial"/>
        </w:rPr>
        <w:t xml:space="preserve">. </w:t>
      </w:r>
    </w:p>
    <w:sectPr w:rsidR="00B26D86" w:rsidRPr="005A74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9E36" w14:textId="77777777" w:rsidR="0016233D" w:rsidRDefault="0016233D" w:rsidP="005A7496">
      <w:pPr>
        <w:spacing w:after="0" w:line="240" w:lineRule="auto"/>
      </w:pPr>
      <w:r>
        <w:separator/>
      </w:r>
    </w:p>
  </w:endnote>
  <w:endnote w:type="continuationSeparator" w:id="0">
    <w:p w14:paraId="60AF46F7" w14:textId="77777777" w:rsidR="0016233D" w:rsidRDefault="0016233D" w:rsidP="005A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1D98" w14:textId="77777777" w:rsidR="0016233D" w:rsidRDefault="0016233D" w:rsidP="005A7496">
      <w:pPr>
        <w:spacing w:after="0" w:line="240" w:lineRule="auto"/>
      </w:pPr>
      <w:r>
        <w:separator/>
      </w:r>
    </w:p>
  </w:footnote>
  <w:footnote w:type="continuationSeparator" w:id="0">
    <w:p w14:paraId="6E267F8D" w14:textId="77777777" w:rsidR="0016233D" w:rsidRDefault="0016233D" w:rsidP="005A7496">
      <w:pPr>
        <w:spacing w:after="0" w:line="240" w:lineRule="auto"/>
      </w:pPr>
      <w:r>
        <w:continuationSeparator/>
      </w:r>
    </w:p>
  </w:footnote>
  <w:footnote w:id="1">
    <w:p w14:paraId="746E9BCF" w14:textId="77777777" w:rsidR="00772DF0" w:rsidRDefault="00772DF0" w:rsidP="00772DF0">
      <w:pPr>
        <w:pStyle w:val="FootnoteText"/>
      </w:pPr>
      <w:r>
        <w:rPr>
          <w:rStyle w:val="FootnoteReference"/>
        </w:rPr>
        <w:footnoteRef/>
      </w:r>
      <w:r>
        <w:t xml:space="preserve"> The appointment of a PSIRF lead and supporting team should be completed as part of PSIRF orientation which is described in the </w:t>
      </w:r>
      <w:hyperlink r:id="rId1" w:history="1">
        <w:r w:rsidRPr="00E904F6">
          <w:rPr>
            <w:rStyle w:val="Hyperlink"/>
          </w:rPr>
          <w:t>PSIRF preparation guide</w:t>
        </w:r>
      </w:hyperlink>
    </w:p>
  </w:footnote>
  <w:footnote w:id="2">
    <w:p w14:paraId="6D1BB878" w14:textId="0D985704" w:rsidR="005A7496" w:rsidRDefault="005A7496">
      <w:pPr>
        <w:pStyle w:val="FootnoteText"/>
      </w:pPr>
      <w:r>
        <w:rPr>
          <w:rStyle w:val="FootnoteReference"/>
        </w:rPr>
        <w:footnoteRef/>
      </w:r>
      <w:r>
        <w:t xml:space="preserve"> This timeframe is recommended within the </w:t>
      </w:r>
      <w:hyperlink r:id="rId2" w:history="1">
        <w:r w:rsidRPr="00322635">
          <w:rPr>
            <w:rStyle w:val="Hyperlink"/>
          </w:rPr>
          <w:t>Guide for responding proportionately to patient safety incidents</w:t>
        </w:r>
      </w:hyperlink>
      <w:r>
        <w:t xml:space="preserve"> </w:t>
      </w:r>
    </w:p>
  </w:footnote>
  <w:footnote w:id="3">
    <w:p w14:paraId="269926A5" w14:textId="5A6EA546" w:rsidR="005A7496" w:rsidRDefault="005A7496">
      <w:pPr>
        <w:pStyle w:val="FootnoteText"/>
      </w:pPr>
      <w:r>
        <w:rPr>
          <w:rStyle w:val="FootnoteReference"/>
        </w:rPr>
        <w:footnoteRef/>
      </w:r>
      <w:r>
        <w:t xml:space="preserve"> </w:t>
      </w:r>
      <w:hyperlink r:id="rId3" w:history="1">
        <w:r w:rsidRPr="00257852">
          <w:rPr>
            <w:color w:val="0000FF"/>
            <w:u w:val="single"/>
          </w:rPr>
          <w:t>Using the 'aSSKINg' model in pressure ulcer prevention and care planning - PubMed (nih.gov)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79B"/>
    <w:multiLevelType w:val="hybridMultilevel"/>
    <w:tmpl w:val="2BB4F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1DF9"/>
    <w:multiLevelType w:val="hybridMultilevel"/>
    <w:tmpl w:val="E0EC4748"/>
    <w:lvl w:ilvl="0" w:tplc="F328D9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730E"/>
    <w:multiLevelType w:val="hybridMultilevel"/>
    <w:tmpl w:val="4FB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1762A"/>
    <w:multiLevelType w:val="hybridMultilevel"/>
    <w:tmpl w:val="A5C4FA78"/>
    <w:lvl w:ilvl="0" w:tplc="08090001">
      <w:start w:val="1"/>
      <w:numFmt w:val="bullet"/>
      <w:lvlText w:val=""/>
      <w:lvlJc w:val="left"/>
      <w:pPr>
        <w:ind w:left="780" w:hanging="360"/>
      </w:pPr>
      <w:rPr>
        <w:rFonts w:ascii="Symbol" w:hAnsi="Symbol" w:hint="default"/>
      </w:rPr>
    </w:lvl>
    <w:lvl w:ilvl="1" w:tplc="B25C218C">
      <w:start w:val="3"/>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E333D2"/>
    <w:multiLevelType w:val="hybridMultilevel"/>
    <w:tmpl w:val="0852A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055BB"/>
    <w:multiLevelType w:val="hybridMultilevel"/>
    <w:tmpl w:val="14CC5222"/>
    <w:lvl w:ilvl="0" w:tplc="0F64D698">
      <w:start w:val="1"/>
      <w:numFmt w:val="decimal"/>
      <w:lvlText w:val="%1)"/>
      <w:lvlJc w:val="left"/>
      <w:pPr>
        <w:ind w:left="720" w:hanging="360"/>
      </w:pPr>
      <w:rPr>
        <w:rFonts w:eastAsiaTheme="majorEastAsia" w:cstheme="majorBidi" w:hint="default"/>
        <w:color w:val="365F91"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42CCB"/>
    <w:multiLevelType w:val="hybridMultilevel"/>
    <w:tmpl w:val="6616C5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042BB"/>
    <w:multiLevelType w:val="hybridMultilevel"/>
    <w:tmpl w:val="9D4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5E3A"/>
    <w:multiLevelType w:val="hybridMultilevel"/>
    <w:tmpl w:val="0852A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2C0977"/>
    <w:multiLevelType w:val="hybridMultilevel"/>
    <w:tmpl w:val="416AF598"/>
    <w:lvl w:ilvl="0" w:tplc="B25C218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122C2"/>
    <w:multiLevelType w:val="hybridMultilevel"/>
    <w:tmpl w:val="0852A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150C7"/>
    <w:multiLevelType w:val="hybridMultilevel"/>
    <w:tmpl w:val="6388F8F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370E2"/>
    <w:multiLevelType w:val="hybridMultilevel"/>
    <w:tmpl w:val="0852AD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3014E"/>
    <w:multiLevelType w:val="hybridMultilevel"/>
    <w:tmpl w:val="8A5A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77328"/>
    <w:multiLevelType w:val="hybridMultilevel"/>
    <w:tmpl w:val="0A581E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A4BF8"/>
    <w:multiLevelType w:val="hybridMultilevel"/>
    <w:tmpl w:val="4B14D5C4"/>
    <w:lvl w:ilvl="0" w:tplc="25A22A4E">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3E0D"/>
    <w:multiLevelType w:val="hybridMultilevel"/>
    <w:tmpl w:val="8884CF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8726030">
    <w:abstractNumId w:val="0"/>
  </w:num>
  <w:num w:numId="2" w16cid:durableId="485173533">
    <w:abstractNumId w:val="10"/>
  </w:num>
  <w:num w:numId="3" w16cid:durableId="1859468331">
    <w:abstractNumId w:val="13"/>
  </w:num>
  <w:num w:numId="4" w16cid:durableId="1814516386">
    <w:abstractNumId w:val="9"/>
  </w:num>
  <w:num w:numId="5" w16cid:durableId="2137094620">
    <w:abstractNumId w:val="4"/>
  </w:num>
  <w:num w:numId="6" w16cid:durableId="2020113457">
    <w:abstractNumId w:val="8"/>
  </w:num>
  <w:num w:numId="7" w16cid:durableId="572205522">
    <w:abstractNumId w:val="7"/>
  </w:num>
  <w:num w:numId="8" w16cid:durableId="61418052">
    <w:abstractNumId w:val="2"/>
  </w:num>
  <w:num w:numId="9" w16cid:durableId="1578591770">
    <w:abstractNumId w:val="12"/>
  </w:num>
  <w:num w:numId="10" w16cid:durableId="405760076">
    <w:abstractNumId w:val="14"/>
  </w:num>
  <w:num w:numId="11" w16cid:durableId="1041825837">
    <w:abstractNumId w:val="16"/>
  </w:num>
  <w:num w:numId="12" w16cid:durableId="1516919846">
    <w:abstractNumId w:val="3"/>
  </w:num>
  <w:num w:numId="13" w16cid:durableId="1135366025">
    <w:abstractNumId w:val="5"/>
  </w:num>
  <w:num w:numId="14" w16cid:durableId="79330656">
    <w:abstractNumId w:val="6"/>
  </w:num>
  <w:num w:numId="15" w16cid:durableId="1628658851">
    <w:abstractNumId w:val="1"/>
  </w:num>
  <w:num w:numId="16" w16cid:durableId="1579366552">
    <w:abstractNumId w:val="15"/>
  </w:num>
  <w:num w:numId="17" w16cid:durableId="587814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5E"/>
    <w:rsid w:val="00006BA3"/>
    <w:rsid w:val="00020DAB"/>
    <w:rsid w:val="00022340"/>
    <w:rsid w:val="000239CB"/>
    <w:rsid w:val="00030B3F"/>
    <w:rsid w:val="00046718"/>
    <w:rsid w:val="00047580"/>
    <w:rsid w:val="00054BD6"/>
    <w:rsid w:val="00071047"/>
    <w:rsid w:val="000A0493"/>
    <w:rsid w:val="000A29EB"/>
    <w:rsid w:val="000A4941"/>
    <w:rsid w:val="000B019F"/>
    <w:rsid w:val="000C2F32"/>
    <w:rsid w:val="000D0039"/>
    <w:rsid w:val="000D3960"/>
    <w:rsid w:val="000D4B13"/>
    <w:rsid w:val="000D5B0B"/>
    <w:rsid w:val="000E0520"/>
    <w:rsid w:val="000E5477"/>
    <w:rsid w:val="000E5B4E"/>
    <w:rsid w:val="000E6949"/>
    <w:rsid w:val="000F1872"/>
    <w:rsid w:val="00102D55"/>
    <w:rsid w:val="00106AF7"/>
    <w:rsid w:val="00112B73"/>
    <w:rsid w:val="00113D03"/>
    <w:rsid w:val="00114995"/>
    <w:rsid w:val="001254A4"/>
    <w:rsid w:val="0013484E"/>
    <w:rsid w:val="00135049"/>
    <w:rsid w:val="00135C71"/>
    <w:rsid w:val="00145EC7"/>
    <w:rsid w:val="001617DA"/>
    <w:rsid w:val="0016233D"/>
    <w:rsid w:val="001653A9"/>
    <w:rsid w:val="00170354"/>
    <w:rsid w:val="00194004"/>
    <w:rsid w:val="001A552D"/>
    <w:rsid w:val="001C2AE8"/>
    <w:rsid w:val="001C3BB0"/>
    <w:rsid w:val="001C69B5"/>
    <w:rsid w:val="001E1DF5"/>
    <w:rsid w:val="001E5423"/>
    <w:rsid w:val="001E6854"/>
    <w:rsid w:val="001F27B2"/>
    <w:rsid w:val="00213E9A"/>
    <w:rsid w:val="00217915"/>
    <w:rsid w:val="002203CC"/>
    <w:rsid w:val="00223A49"/>
    <w:rsid w:val="00225F48"/>
    <w:rsid w:val="00227B27"/>
    <w:rsid w:val="00230D26"/>
    <w:rsid w:val="0023168C"/>
    <w:rsid w:val="00234A1B"/>
    <w:rsid w:val="00237F9C"/>
    <w:rsid w:val="00253825"/>
    <w:rsid w:val="00257852"/>
    <w:rsid w:val="00260B44"/>
    <w:rsid w:val="0026350F"/>
    <w:rsid w:val="00271C75"/>
    <w:rsid w:val="00276942"/>
    <w:rsid w:val="0029008A"/>
    <w:rsid w:val="00292594"/>
    <w:rsid w:val="002933A7"/>
    <w:rsid w:val="00293DE8"/>
    <w:rsid w:val="00295446"/>
    <w:rsid w:val="002A3B82"/>
    <w:rsid w:val="002A51AD"/>
    <w:rsid w:val="002B0253"/>
    <w:rsid w:val="002D3202"/>
    <w:rsid w:val="002D6E61"/>
    <w:rsid w:val="002E7F8F"/>
    <w:rsid w:val="002F023A"/>
    <w:rsid w:val="002F0ED0"/>
    <w:rsid w:val="002F1BFA"/>
    <w:rsid w:val="002F6B87"/>
    <w:rsid w:val="002F7ED7"/>
    <w:rsid w:val="00322635"/>
    <w:rsid w:val="00324FB5"/>
    <w:rsid w:val="003367FF"/>
    <w:rsid w:val="00354BE4"/>
    <w:rsid w:val="00370FEA"/>
    <w:rsid w:val="00383456"/>
    <w:rsid w:val="00385599"/>
    <w:rsid w:val="00386562"/>
    <w:rsid w:val="0039322C"/>
    <w:rsid w:val="003A6FFB"/>
    <w:rsid w:val="003C0EE9"/>
    <w:rsid w:val="003C4A23"/>
    <w:rsid w:val="003C62E1"/>
    <w:rsid w:val="003C70D1"/>
    <w:rsid w:val="003E75DF"/>
    <w:rsid w:val="003F3017"/>
    <w:rsid w:val="003F32B5"/>
    <w:rsid w:val="00401CA4"/>
    <w:rsid w:val="00422ADE"/>
    <w:rsid w:val="004238AE"/>
    <w:rsid w:val="00425CB3"/>
    <w:rsid w:val="00426AE6"/>
    <w:rsid w:val="0043666E"/>
    <w:rsid w:val="00460696"/>
    <w:rsid w:val="0046747F"/>
    <w:rsid w:val="0046791E"/>
    <w:rsid w:val="00474E0D"/>
    <w:rsid w:val="00476249"/>
    <w:rsid w:val="00481F31"/>
    <w:rsid w:val="0048340B"/>
    <w:rsid w:val="00485356"/>
    <w:rsid w:val="0049247D"/>
    <w:rsid w:val="004B6D0B"/>
    <w:rsid w:val="004C0791"/>
    <w:rsid w:val="004C3E94"/>
    <w:rsid w:val="004D19CE"/>
    <w:rsid w:val="004D5DBC"/>
    <w:rsid w:val="004D643D"/>
    <w:rsid w:val="004E312A"/>
    <w:rsid w:val="004F0B0E"/>
    <w:rsid w:val="004F306B"/>
    <w:rsid w:val="004F3327"/>
    <w:rsid w:val="004F691B"/>
    <w:rsid w:val="00504113"/>
    <w:rsid w:val="00505427"/>
    <w:rsid w:val="00516F98"/>
    <w:rsid w:val="005178F0"/>
    <w:rsid w:val="005237E7"/>
    <w:rsid w:val="0052755D"/>
    <w:rsid w:val="0053344E"/>
    <w:rsid w:val="00553DFB"/>
    <w:rsid w:val="00557762"/>
    <w:rsid w:val="00594A80"/>
    <w:rsid w:val="005A3AE9"/>
    <w:rsid w:val="005A61B9"/>
    <w:rsid w:val="005A7496"/>
    <w:rsid w:val="005C00D0"/>
    <w:rsid w:val="005F4153"/>
    <w:rsid w:val="00600241"/>
    <w:rsid w:val="00600311"/>
    <w:rsid w:val="00601CB8"/>
    <w:rsid w:val="00605E7D"/>
    <w:rsid w:val="00610A91"/>
    <w:rsid w:val="00615999"/>
    <w:rsid w:val="00620BA9"/>
    <w:rsid w:val="0062464E"/>
    <w:rsid w:val="006354A5"/>
    <w:rsid w:val="006420B4"/>
    <w:rsid w:val="00645556"/>
    <w:rsid w:val="00656A38"/>
    <w:rsid w:val="006700C5"/>
    <w:rsid w:val="00672693"/>
    <w:rsid w:val="006752D7"/>
    <w:rsid w:val="006809EF"/>
    <w:rsid w:val="00681BB2"/>
    <w:rsid w:val="006822B9"/>
    <w:rsid w:val="006865B2"/>
    <w:rsid w:val="006A1F51"/>
    <w:rsid w:val="006A5239"/>
    <w:rsid w:val="006D2770"/>
    <w:rsid w:val="006D4014"/>
    <w:rsid w:val="006D5D99"/>
    <w:rsid w:val="006E3E90"/>
    <w:rsid w:val="006E72BE"/>
    <w:rsid w:val="007021B5"/>
    <w:rsid w:val="0071686F"/>
    <w:rsid w:val="007168CA"/>
    <w:rsid w:val="007203E1"/>
    <w:rsid w:val="00726AAF"/>
    <w:rsid w:val="007362C3"/>
    <w:rsid w:val="00745AF0"/>
    <w:rsid w:val="007548EA"/>
    <w:rsid w:val="00755742"/>
    <w:rsid w:val="007627AD"/>
    <w:rsid w:val="007708FF"/>
    <w:rsid w:val="00772DF0"/>
    <w:rsid w:val="00773218"/>
    <w:rsid w:val="0077403C"/>
    <w:rsid w:val="00777AE0"/>
    <w:rsid w:val="007821A2"/>
    <w:rsid w:val="007B043D"/>
    <w:rsid w:val="007B4D0C"/>
    <w:rsid w:val="007B6D81"/>
    <w:rsid w:val="007C687A"/>
    <w:rsid w:val="007E0B37"/>
    <w:rsid w:val="007F32CB"/>
    <w:rsid w:val="007F50A2"/>
    <w:rsid w:val="007F5A63"/>
    <w:rsid w:val="008029D4"/>
    <w:rsid w:val="00807DB0"/>
    <w:rsid w:val="00826D13"/>
    <w:rsid w:val="008443C1"/>
    <w:rsid w:val="00864CC3"/>
    <w:rsid w:val="00865267"/>
    <w:rsid w:val="008901BE"/>
    <w:rsid w:val="00893E97"/>
    <w:rsid w:val="008A14D1"/>
    <w:rsid w:val="008A7D9C"/>
    <w:rsid w:val="008B6827"/>
    <w:rsid w:val="009053DD"/>
    <w:rsid w:val="00910287"/>
    <w:rsid w:val="00913CBF"/>
    <w:rsid w:val="00916C61"/>
    <w:rsid w:val="00917EBE"/>
    <w:rsid w:val="0092128E"/>
    <w:rsid w:val="009367B4"/>
    <w:rsid w:val="009374CC"/>
    <w:rsid w:val="009406A7"/>
    <w:rsid w:val="00950F47"/>
    <w:rsid w:val="00952DF8"/>
    <w:rsid w:val="00954BC3"/>
    <w:rsid w:val="00962899"/>
    <w:rsid w:val="009660D3"/>
    <w:rsid w:val="009736B5"/>
    <w:rsid w:val="00981F04"/>
    <w:rsid w:val="0099407A"/>
    <w:rsid w:val="00996264"/>
    <w:rsid w:val="009A5066"/>
    <w:rsid w:val="009A6BE6"/>
    <w:rsid w:val="009B1FA1"/>
    <w:rsid w:val="009C0154"/>
    <w:rsid w:val="009C52DC"/>
    <w:rsid w:val="009D24FC"/>
    <w:rsid w:val="009D3E47"/>
    <w:rsid w:val="009D5D3B"/>
    <w:rsid w:val="00A014A8"/>
    <w:rsid w:val="00A06A4C"/>
    <w:rsid w:val="00A077EC"/>
    <w:rsid w:val="00A110C3"/>
    <w:rsid w:val="00A16AAD"/>
    <w:rsid w:val="00A26064"/>
    <w:rsid w:val="00A317F3"/>
    <w:rsid w:val="00A42CF2"/>
    <w:rsid w:val="00A43984"/>
    <w:rsid w:val="00A4504A"/>
    <w:rsid w:val="00A5291C"/>
    <w:rsid w:val="00A60C5A"/>
    <w:rsid w:val="00A76012"/>
    <w:rsid w:val="00A76990"/>
    <w:rsid w:val="00AA04AD"/>
    <w:rsid w:val="00AA165E"/>
    <w:rsid w:val="00AA3D40"/>
    <w:rsid w:val="00AA6A85"/>
    <w:rsid w:val="00AA755E"/>
    <w:rsid w:val="00AB3DE5"/>
    <w:rsid w:val="00AC504D"/>
    <w:rsid w:val="00AD7162"/>
    <w:rsid w:val="00AF2928"/>
    <w:rsid w:val="00AF2E00"/>
    <w:rsid w:val="00B02E1A"/>
    <w:rsid w:val="00B062B9"/>
    <w:rsid w:val="00B16B32"/>
    <w:rsid w:val="00B21F3A"/>
    <w:rsid w:val="00B233E7"/>
    <w:rsid w:val="00B26D86"/>
    <w:rsid w:val="00B27D2C"/>
    <w:rsid w:val="00B36866"/>
    <w:rsid w:val="00B40ED5"/>
    <w:rsid w:val="00B51E53"/>
    <w:rsid w:val="00B62CEB"/>
    <w:rsid w:val="00B70029"/>
    <w:rsid w:val="00B73193"/>
    <w:rsid w:val="00B801FE"/>
    <w:rsid w:val="00B81FB2"/>
    <w:rsid w:val="00B82D9B"/>
    <w:rsid w:val="00B8310E"/>
    <w:rsid w:val="00B84655"/>
    <w:rsid w:val="00B87987"/>
    <w:rsid w:val="00B91066"/>
    <w:rsid w:val="00B96BDB"/>
    <w:rsid w:val="00BA1A50"/>
    <w:rsid w:val="00BC0227"/>
    <w:rsid w:val="00BC31DA"/>
    <w:rsid w:val="00BD4D80"/>
    <w:rsid w:val="00BE02DF"/>
    <w:rsid w:val="00BE1233"/>
    <w:rsid w:val="00BE34F5"/>
    <w:rsid w:val="00BE4BBF"/>
    <w:rsid w:val="00C047D1"/>
    <w:rsid w:val="00C1025B"/>
    <w:rsid w:val="00C32C49"/>
    <w:rsid w:val="00C57B4F"/>
    <w:rsid w:val="00C74B4B"/>
    <w:rsid w:val="00C97E5E"/>
    <w:rsid w:val="00CA4773"/>
    <w:rsid w:val="00CB3778"/>
    <w:rsid w:val="00CE5CAF"/>
    <w:rsid w:val="00D01CEA"/>
    <w:rsid w:val="00D0263B"/>
    <w:rsid w:val="00D15C62"/>
    <w:rsid w:val="00D23307"/>
    <w:rsid w:val="00D3161D"/>
    <w:rsid w:val="00D31FD0"/>
    <w:rsid w:val="00D338D7"/>
    <w:rsid w:val="00D37B15"/>
    <w:rsid w:val="00D55D05"/>
    <w:rsid w:val="00D57B99"/>
    <w:rsid w:val="00D616D9"/>
    <w:rsid w:val="00D61A44"/>
    <w:rsid w:val="00D64A30"/>
    <w:rsid w:val="00D72715"/>
    <w:rsid w:val="00D952B5"/>
    <w:rsid w:val="00DB105B"/>
    <w:rsid w:val="00DB7BC0"/>
    <w:rsid w:val="00DC43F5"/>
    <w:rsid w:val="00DE1EE4"/>
    <w:rsid w:val="00DE1F02"/>
    <w:rsid w:val="00DE5B35"/>
    <w:rsid w:val="00E11B92"/>
    <w:rsid w:val="00E171FB"/>
    <w:rsid w:val="00E27156"/>
    <w:rsid w:val="00E32EFC"/>
    <w:rsid w:val="00E361B4"/>
    <w:rsid w:val="00E36EB0"/>
    <w:rsid w:val="00E74013"/>
    <w:rsid w:val="00E80D3F"/>
    <w:rsid w:val="00E904F6"/>
    <w:rsid w:val="00E93BC9"/>
    <w:rsid w:val="00EB68D5"/>
    <w:rsid w:val="00EC3687"/>
    <w:rsid w:val="00EC3B77"/>
    <w:rsid w:val="00EC48C1"/>
    <w:rsid w:val="00EE0D89"/>
    <w:rsid w:val="00EE362C"/>
    <w:rsid w:val="00EE6090"/>
    <w:rsid w:val="00EE6F07"/>
    <w:rsid w:val="00EF0202"/>
    <w:rsid w:val="00F01F31"/>
    <w:rsid w:val="00F14C0F"/>
    <w:rsid w:val="00F20199"/>
    <w:rsid w:val="00F22A99"/>
    <w:rsid w:val="00F25E66"/>
    <w:rsid w:val="00F33D1B"/>
    <w:rsid w:val="00F3446C"/>
    <w:rsid w:val="00F4046B"/>
    <w:rsid w:val="00F4206E"/>
    <w:rsid w:val="00F447AF"/>
    <w:rsid w:val="00F47EF4"/>
    <w:rsid w:val="00F61D75"/>
    <w:rsid w:val="00F6658E"/>
    <w:rsid w:val="00F76803"/>
    <w:rsid w:val="00F8632A"/>
    <w:rsid w:val="00F8796D"/>
    <w:rsid w:val="00FC0E83"/>
    <w:rsid w:val="00FD2176"/>
    <w:rsid w:val="00FD31A9"/>
    <w:rsid w:val="00FF10B6"/>
    <w:rsid w:val="00FF4065"/>
    <w:rsid w:val="00FF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D198"/>
  <w15:chartTrackingRefBased/>
  <w15:docId w15:val="{FF72C476-7968-485B-ABC5-3A1E61C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7F"/>
    <w:rPr>
      <w:rFonts w:ascii="Arial" w:hAnsi="Arial"/>
    </w:rPr>
  </w:style>
  <w:style w:type="paragraph" w:styleId="Heading1">
    <w:name w:val="heading 1"/>
    <w:basedOn w:val="Normal"/>
    <w:next w:val="Normal"/>
    <w:link w:val="Heading1Char"/>
    <w:uiPriority w:val="9"/>
    <w:qFormat/>
    <w:rsid w:val="00A014A8"/>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7987"/>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7987"/>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27"/>
    <w:pPr>
      <w:ind w:left="720"/>
      <w:contextualSpacing/>
    </w:pPr>
  </w:style>
  <w:style w:type="character" w:styleId="CommentReference">
    <w:name w:val="annotation reference"/>
    <w:basedOn w:val="DefaultParagraphFont"/>
    <w:uiPriority w:val="99"/>
    <w:semiHidden/>
    <w:unhideWhenUsed/>
    <w:rsid w:val="00F76803"/>
    <w:rPr>
      <w:sz w:val="16"/>
      <w:szCs w:val="16"/>
    </w:rPr>
  </w:style>
  <w:style w:type="paragraph" w:styleId="CommentText">
    <w:name w:val="annotation text"/>
    <w:basedOn w:val="Normal"/>
    <w:link w:val="CommentTextChar"/>
    <w:uiPriority w:val="99"/>
    <w:unhideWhenUsed/>
    <w:rsid w:val="00F76803"/>
    <w:pPr>
      <w:spacing w:line="240" w:lineRule="auto"/>
    </w:pPr>
    <w:rPr>
      <w:sz w:val="20"/>
      <w:szCs w:val="20"/>
    </w:rPr>
  </w:style>
  <w:style w:type="character" w:customStyle="1" w:styleId="CommentTextChar">
    <w:name w:val="Comment Text Char"/>
    <w:basedOn w:val="DefaultParagraphFont"/>
    <w:link w:val="CommentText"/>
    <w:uiPriority w:val="99"/>
    <w:rsid w:val="00F76803"/>
    <w:rPr>
      <w:sz w:val="20"/>
      <w:szCs w:val="20"/>
    </w:rPr>
  </w:style>
  <w:style w:type="paragraph" w:styleId="CommentSubject">
    <w:name w:val="annotation subject"/>
    <w:basedOn w:val="CommentText"/>
    <w:next w:val="CommentText"/>
    <w:link w:val="CommentSubjectChar"/>
    <w:uiPriority w:val="99"/>
    <w:semiHidden/>
    <w:unhideWhenUsed/>
    <w:rsid w:val="00F76803"/>
    <w:rPr>
      <w:b/>
      <w:bCs/>
    </w:rPr>
  </w:style>
  <w:style w:type="character" w:customStyle="1" w:styleId="CommentSubjectChar">
    <w:name w:val="Comment Subject Char"/>
    <w:basedOn w:val="CommentTextChar"/>
    <w:link w:val="CommentSubject"/>
    <w:uiPriority w:val="99"/>
    <w:semiHidden/>
    <w:rsid w:val="00F76803"/>
    <w:rPr>
      <w:b/>
      <w:bCs/>
      <w:sz w:val="20"/>
      <w:szCs w:val="20"/>
    </w:rPr>
  </w:style>
  <w:style w:type="paragraph" w:styleId="BalloonText">
    <w:name w:val="Balloon Text"/>
    <w:basedOn w:val="Normal"/>
    <w:link w:val="BalloonTextChar"/>
    <w:uiPriority w:val="99"/>
    <w:semiHidden/>
    <w:unhideWhenUsed/>
    <w:rsid w:val="00F7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03"/>
    <w:rPr>
      <w:rFonts w:ascii="Segoe UI" w:hAnsi="Segoe UI" w:cs="Segoe UI"/>
      <w:sz w:val="18"/>
      <w:szCs w:val="18"/>
    </w:rPr>
  </w:style>
  <w:style w:type="paragraph" w:styleId="Revision">
    <w:name w:val="Revision"/>
    <w:hidden/>
    <w:uiPriority w:val="99"/>
    <w:semiHidden/>
    <w:rsid w:val="004C0791"/>
    <w:pPr>
      <w:spacing w:after="0" w:line="240" w:lineRule="auto"/>
    </w:pPr>
  </w:style>
  <w:style w:type="paragraph" w:styleId="Title">
    <w:name w:val="Title"/>
    <w:basedOn w:val="Normal"/>
    <w:next w:val="Normal"/>
    <w:link w:val="TitleChar"/>
    <w:uiPriority w:val="10"/>
    <w:qFormat/>
    <w:rsid w:val="00A014A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014A8"/>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A014A8"/>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rsid w:val="00B87987"/>
    <w:rPr>
      <w:rFonts w:ascii="Arial" w:eastAsiaTheme="majorEastAsia" w:hAnsi="Arial" w:cstheme="majorBidi"/>
      <w:color w:val="365F91" w:themeColor="accent1" w:themeShade="BF"/>
      <w:sz w:val="26"/>
      <w:szCs w:val="26"/>
    </w:rPr>
  </w:style>
  <w:style w:type="character" w:customStyle="1" w:styleId="Heading3Char">
    <w:name w:val="Heading 3 Char"/>
    <w:basedOn w:val="DefaultParagraphFont"/>
    <w:link w:val="Heading3"/>
    <w:uiPriority w:val="9"/>
    <w:rsid w:val="00B87987"/>
    <w:rPr>
      <w:rFonts w:ascii="Arial" w:eastAsiaTheme="majorEastAsia" w:hAnsi="Arial" w:cstheme="majorBidi"/>
      <w:color w:val="243F60" w:themeColor="accent1" w:themeShade="7F"/>
      <w:sz w:val="24"/>
      <w:szCs w:val="24"/>
    </w:rPr>
  </w:style>
  <w:style w:type="paragraph" w:styleId="TOCHeading">
    <w:name w:val="TOC Heading"/>
    <w:basedOn w:val="Heading1"/>
    <w:next w:val="Normal"/>
    <w:uiPriority w:val="39"/>
    <w:unhideWhenUsed/>
    <w:qFormat/>
    <w:rsid w:val="0046747F"/>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46747F"/>
    <w:pPr>
      <w:spacing w:after="100"/>
    </w:pPr>
  </w:style>
  <w:style w:type="paragraph" w:styleId="TOC2">
    <w:name w:val="toc 2"/>
    <w:basedOn w:val="Normal"/>
    <w:next w:val="Normal"/>
    <w:autoRedefine/>
    <w:uiPriority w:val="39"/>
    <w:unhideWhenUsed/>
    <w:rsid w:val="0046747F"/>
    <w:pPr>
      <w:spacing w:after="100"/>
      <w:ind w:left="220"/>
    </w:pPr>
  </w:style>
  <w:style w:type="paragraph" w:styleId="TOC3">
    <w:name w:val="toc 3"/>
    <w:basedOn w:val="Normal"/>
    <w:next w:val="Normal"/>
    <w:autoRedefine/>
    <w:uiPriority w:val="39"/>
    <w:unhideWhenUsed/>
    <w:rsid w:val="0046747F"/>
    <w:pPr>
      <w:spacing w:after="100"/>
      <w:ind w:left="440"/>
    </w:pPr>
  </w:style>
  <w:style w:type="character" w:styleId="Hyperlink">
    <w:name w:val="Hyperlink"/>
    <w:basedOn w:val="DefaultParagraphFont"/>
    <w:uiPriority w:val="99"/>
    <w:unhideWhenUsed/>
    <w:rsid w:val="0046747F"/>
    <w:rPr>
      <w:color w:val="0000FF" w:themeColor="hyperlink"/>
      <w:u w:val="single"/>
    </w:rPr>
  </w:style>
  <w:style w:type="paragraph" w:styleId="FootnoteText">
    <w:name w:val="footnote text"/>
    <w:basedOn w:val="Normal"/>
    <w:link w:val="FootnoteTextChar"/>
    <w:uiPriority w:val="99"/>
    <w:semiHidden/>
    <w:unhideWhenUsed/>
    <w:rsid w:val="005A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496"/>
    <w:rPr>
      <w:rFonts w:ascii="Arial" w:hAnsi="Arial"/>
      <w:sz w:val="20"/>
      <w:szCs w:val="20"/>
    </w:rPr>
  </w:style>
  <w:style w:type="character" w:styleId="FootnoteReference">
    <w:name w:val="footnote reference"/>
    <w:basedOn w:val="DefaultParagraphFont"/>
    <w:uiPriority w:val="99"/>
    <w:semiHidden/>
    <w:unhideWhenUsed/>
    <w:rsid w:val="005A7496"/>
    <w:rPr>
      <w:vertAlign w:val="superscript"/>
    </w:rPr>
  </w:style>
  <w:style w:type="character" w:styleId="UnresolvedMention">
    <w:name w:val="Unresolved Mention"/>
    <w:basedOn w:val="DefaultParagraphFont"/>
    <w:uiPriority w:val="99"/>
    <w:semiHidden/>
    <w:unhideWhenUsed/>
    <w:rsid w:val="0064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72038">
      <w:bodyDiv w:val="1"/>
      <w:marLeft w:val="0"/>
      <w:marRight w:val="0"/>
      <w:marTop w:val="0"/>
      <w:marBottom w:val="0"/>
      <w:divBdr>
        <w:top w:val="none" w:sz="0" w:space="0" w:color="auto"/>
        <w:left w:val="none" w:sz="0" w:space="0" w:color="auto"/>
        <w:bottom w:val="none" w:sz="0" w:space="0" w:color="auto"/>
        <w:right w:val="none" w:sz="0" w:space="0" w:color="auto"/>
      </w:divBdr>
      <w:divsChild>
        <w:div w:id="77945585">
          <w:marLeft w:val="0"/>
          <w:marRight w:val="0"/>
          <w:marTop w:val="0"/>
          <w:marBottom w:val="0"/>
          <w:divBdr>
            <w:top w:val="none" w:sz="0" w:space="0" w:color="auto"/>
            <w:left w:val="none" w:sz="0" w:space="0" w:color="auto"/>
            <w:bottom w:val="none" w:sz="0" w:space="0" w:color="auto"/>
            <w:right w:val="none" w:sz="0" w:space="0" w:color="auto"/>
          </w:divBdr>
          <w:divsChild>
            <w:div w:id="820535633">
              <w:marLeft w:val="0"/>
              <w:marRight w:val="0"/>
              <w:marTop w:val="0"/>
              <w:marBottom w:val="0"/>
              <w:divBdr>
                <w:top w:val="none" w:sz="0" w:space="0" w:color="auto"/>
                <w:left w:val="none" w:sz="0" w:space="0" w:color="auto"/>
                <w:bottom w:val="none" w:sz="0" w:space="0" w:color="auto"/>
                <w:right w:val="none" w:sz="0" w:space="0" w:color="auto"/>
              </w:divBdr>
            </w:div>
          </w:divsChild>
        </w:div>
        <w:div w:id="196238304">
          <w:marLeft w:val="0"/>
          <w:marRight w:val="0"/>
          <w:marTop w:val="0"/>
          <w:marBottom w:val="0"/>
          <w:divBdr>
            <w:top w:val="none" w:sz="0" w:space="0" w:color="auto"/>
            <w:left w:val="none" w:sz="0" w:space="0" w:color="auto"/>
            <w:bottom w:val="none" w:sz="0" w:space="0" w:color="auto"/>
            <w:right w:val="none" w:sz="0" w:space="0" w:color="auto"/>
          </w:divBdr>
          <w:divsChild>
            <w:div w:id="1961690202">
              <w:marLeft w:val="0"/>
              <w:marRight w:val="0"/>
              <w:marTop w:val="0"/>
              <w:marBottom w:val="0"/>
              <w:divBdr>
                <w:top w:val="none" w:sz="0" w:space="0" w:color="auto"/>
                <w:left w:val="none" w:sz="0" w:space="0" w:color="auto"/>
                <w:bottom w:val="none" w:sz="0" w:space="0" w:color="auto"/>
                <w:right w:val="none" w:sz="0" w:space="0" w:color="auto"/>
              </w:divBdr>
            </w:div>
          </w:divsChild>
        </w:div>
        <w:div w:id="761529948">
          <w:marLeft w:val="0"/>
          <w:marRight w:val="0"/>
          <w:marTop w:val="0"/>
          <w:marBottom w:val="0"/>
          <w:divBdr>
            <w:top w:val="none" w:sz="0" w:space="0" w:color="auto"/>
            <w:left w:val="none" w:sz="0" w:space="0" w:color="auto"/>
            <w:bottom w:val="none" w:sz="0" w:space="0" w:color="auto"/>
            <w:right w:val="none" w:sz="0" w:space="0" w:color="auto"/>
          </w:divBdr>
          <w:divsChild>
            <w:div w:id="682972704">
              <w:marLeft w:val="0"/>
              <w:marRight w:val="0"/>
              <w:marTop w:val="0"/>
              <w:marBottom w:val="0"/>
              <w:divBdr>
                <w:top w:val="none" w:sz="0" w:space="0" w:color="auto"/>
                <w:left w:val="none" w:sz="0" w:space="0" w:color="auto"/>
                <w:bottom w:val="none" w:sz="0" w:space="0" w:color="auto"/>
                <w:right w:val="none" w:sz="0" w:space="0" w:color="auto"/>
              </w:divBdr>
            </w:div>
          </w:divsChild>
        </w:div>
        <w:div w:id="836656089">
          <w:marLeft w:val="0"/>
          <w:marRight w:val="0"/>
          <w:marTop w:val="0"/>
          <w:marBottom w:val="0"/>
          <w:divBdr>
            <w:top w:val="none" w:sz="0" w:space="0" w:color="auto"/>
            <w:left w:val="none" w:sz="0" w:space="0" w:color="auto"/>
            <w:bottom w:val="none" w:sz="0" w:space="0" w:color="auto"/>
            <w:right w:val="none" w:sz="0" w:space="0" w:color="auto"/>
          </w:divBdr>
          <w:divsChild>
            <w:div w:id="2060471116">
              <w:marLeft w:val="0"/>
              <w:marRight w:val="0"/>
              <w:marTop w:val="0"/>
              <w:marBottom w:val="0"/>
              <w:divBdr>
                <w:top w:val="none" w:sz="0" w:space="0" w:color="auto"/>
                <w:left w:val="none" w:sz="0" w:space="0" w:color="auto"/>
                <w:bottom w:val="none" w:sz="0" w:space="0" w:color="auto"/>
                <w:right w:val="none" w:sz="0" w:space="0" w:color="auto"/>
              </w:divBdr>
            </w:div>
          </w:divsChild>
        </w:div>
        <w:div w:id="1229998621">
          <w:marLeft w:val="0"/>
          <w:marRight w:val="0"/>
          <w:marTop w:val="0"/>
          <w:marBottom w:val="0"/>
          <w:divBdr>
            <w:top w:val="none" w:sz="0" w:space="0" w:color="auto"/>
            <w:left w:val="none" w:sz="0" w:space="0" w:color="auto"/>
            <w:bottom w:val="none" w:sz="0" w:space="0" w:color="auto"/>
            <w:right w:val="none" w:sz="0" w:space="0" w:color="auto"/>
          </w:divBdr>
          <w:divsChild>
            <w:div w:id="899705495">
              <w:marLeft w:val="0"/>
              <w:marRight w:val="0"/>
              <w:marTop w:val="0"/>
              <w:marBottom w:val="0"/>
              <w:divBdr>
                <w:top w:val="none" w:sz="0" w:space="0" w:color="auto"/>
                <w:left w:val="none" w:sz="0" w:space="0" w:color="auto"/>
                <w:bottom w:val="none" w:sz="0" w:space="0" w:color="auto"/>
                <w:right w:val="none" w:sz="0" w:space="0" w:color="auto"/>
              </w:divBdr>
            </w:div>
          </w:divsChild>
        </w:div>
        <w:div w:id="1254974618">
          <w:marLeft w:val="0"/>
          <w:marRight w:val="0"/>
          <w:marTop w:val="0"/>
          <w:marBottom w:val="0"/>
          <w:divBdr>
            <w:top w:val="none" w:sz="0" w:space="0" w:color="auto"/>
            <w:left w:val="none" w:sz="0" w:space="0" w:color="auto"/>
            <w:bottom w:val="none" w:sz="0" w:space="0" w:color="auto"/>
            <w:right w:val="none" w:sz="0" w:space="0" w:color="auto"/>
          </w:divBdr>
          <w:divsChild>
            <w:div w:id="804616236">
              <w:marLeft w:val="0"/>
              <w:marRight w:val="0"/>
              <w:marTop w:val="0"/>
              <w:marBottom w:val="0"/>
              <w:divBdr>
                <w:top w:val="none" w:sz="0" w:space="0" w:color="auto"/>
                <w:left w:val="none" w:sz="0" w:space="0" w:color="auto"/>
                <w:bottom w:val="none" w:sz="0" w:space="0" w:color="auto"/>
                <w:right w:val="none" w:sz="0" w:space="0" w:color="auto"/>
              </w:divBdr>
            </w:div>
          </w:divsChild>
        </w:div>
        <w:div w:id="1306937646">
          <w:marLeft w:val="0"/>
          <w:marRight w:val="0"/>
          <w:marTop w:val="0"/>
          <w:marBottom w:val="0"/>
          <w:divBdr>
            <w:top w:val="none" w:sz="0" w:space="0" w:color="auto"/>
            <w:left w:val="none" w:sz="0" w:space="0" w:color="auto"/>
            <w:bottom w:val="none" w:sz="0" w:space="0" w:color="auto"/>
            <w:right w:val="none" w:sz="0" w:space="0" w:color="auto"/>
          </w:divBdr>
          <w:divsChild>
            <w:div w:id="2072074398">
              <w:marLeft w:val="0"/>
              <w:marRight w:val="0"/>
              <w:marTop w:val="0"/>
              <w:marBottom w:val="0"/>
              <w:divBdr>
                <w:top w:val="none" w:sz="0" w:space="0" w:color="auto"/>
                <w:left w:val="none" w:sz="0" w:space="0" w:color="auto"/>
                <w:bottom w:val="none" w:sz="0" w:space="0" w:color="auto"/>
                <w:right w:val="none" w:sz="0" w:space="0" w:color="auto"/>
              </w:divBdr>
            </w:div>
          </w:divsChild>
        </w:div>
        <w:div w:id="1587688669">
          <w:marLeft w:val="0"/>
          <w:marRight w:val="0"/>
          <w:marTop w:val="0"/>
          <w:marBottom w:val="0"/>
          <w:divBdr>
            <w:top w:val="none" w:sz="0" w:space="0" w:color="auto"/>
            <w:left w:val="none" w:sz="0" w:space="0" w:color="auto"/>
            <w:bottom w:val="none" w:sz="0" w:space="0" w:color="auto"/>
            <w:right w:val="none" w:sz="0" w:space="0" w:color="auto"/>
          </w:divBdr>
          <w:divsChild>
            <w:div w:id="1904094884">
              <w:marLeft w:val="0"/>
              <w:marRight w:val="0"/>
              <w:marTop w:val="0"/>
              <w:marBottom w:val="0"/>
              <w:divBdr>
                <w:top w:val="none" w:sz="0" w:space="0" w:color="auto"/>
                <w:left w:val="none" w:sz="0" w:space="0" w:color="auto"/>
                <w:bottom w:val="none" w:sz="0" w:space="0" w:color="auto"/>
                <w:right w:val="none" w:sz="0" w:space="0" w:color="auto"/>
              </w:divBdr>
            </w:div>
          </w:divsChild>
        </w:div>
        <w:div w:id="1706520598">
          <w:marLeft w:val="0"/>
          <w:marRight w:val="0"/>
          <w:marTop w:val="0"/>
          <w:marBottom w:val="0"/>
          <w:divBdr>
            <w:top w:val="none" w:sz="0" w:space="0" w:color="auto"/>
            <w:left w:val="none" w:sz="0" w:space="0" w:color="auto"/>
            <w:bottom w:val="none" w:sz="0" w:space="0" w:color="auto"/>
            <w:right w:val="none" w:sz="0" w:space="0" w:color="auto"/>
          </w:divBdr>
          <w:divsChild>
            <w:div w:id="487525263">
              <w:marLeft w:val="0"/>
              <w:marRight w:val="0"/>
              <w:marTop w:val="0"/>
              <w:marBottom w:val="0"/>
              <w:divBdr>
                <w:top w:val="none" w:sz="0" w:space="0" w:color="auto"/>
                <w:left w:val="none" w:sz="0" w:space="0" w:color="auto"/>
                <w:bottom w:val="none" w:sz="0" w:space="0" w:color="auto"/>
                <w:right w:val="none" w:sz="0" w:space="0" w:color="auto"/>
              </w:divBdr>
            </w:div>
          </w:divsChild>
        </w:div>
        <w:div w:id="1820220724">
          <w:marLeft w:val="0"/>
          <w:marRight w:val="0"/>
          <w:marTop w:val="0"/>
          <w:marBottom w:val="0"/>
          <w:divBdr>
            <w:top w:val="none" w:sz="0" w:space="0" w:color="auto"/>
            <w:left w:val="none" w:sz="0" w:space="0" w:color="auto"/>
            <w:bottom w:val="none" w:sz="0" w:space="0" w:color="auto"/>
            <w:right w:val="none" w:sz="0" w:space="0" w:color="auto"/>
          </w:divBdr>
          <w:divsChild>
            <w:div w:id="1962303771">
              <w:marLeft w:val="0"/>
              <w:marRight w:val="0"/>
              <w:marTop w:val="0"/>
              <w:marBottom w:val="0"/>
              <w:divBdr>
                <w:top w:val="none" w:sz="0" w:space="0" w:color="auto"/>
                <w:left w:val="none" w:sz="0" w:space="0" w:color="auto"/>
                <w:bottom w:val="none" w:sz="0" w:space="0" w:color="auto"/>
                <w:right w:val="none" w:sz="0" w:space="0" w:color="auto"/>
              </w:divBdr>
            </w:div>
          </w:divsChild>
        </w:div>
        <w:div w:id="1823694784">
          <w:marLeft w:val="0"/>
          <w:marRight w:val="0"/>
          <w:marTop w:val="0"/>
          <w:marBottom w:val="0"/>
          <w:divBdr>
            <w:top w:val="none" w:sz="0" w:space="0" w:color="auto"/>
            <w:left w:val="none" w:sz="0" w:space="0" w:color="auto"/>
            <w:bottom w:val="none" w:sz="0" w:space="0" w:color="auto"/>
            <w:right w:val="none" w:sz="0" w:space="0" w:color="auto"/>
          </w:divBdr>
          <w:divsChild>
            <w:div w:id="1928615951">
              <w:marLeft w:val="0"/>
              <w:marRight w:val="0"/>
              <w:marTop w:val="0"/>
              <w:marBottom w:val="0"/>
              <w:divBdr>
                <w:top w:val="none" w:sz="0" w:space="0" w:color="auto"/>
                <w:left w:val="none" w:sz="0" w:space="0" w:color="auto"/>
                <w:bottom w:val="none" w:sz="0" w:space="0" w:color="auto"/>
                <w:right w:val="none" w:sz="0" w:space="0" w:color="auto"/>
              </w:divBdr>
            </w:div>
          </w:divsChild>
        </w:div>
        <w:div w:id="2090612357">
          <w:marLeft w:val="0"/>
          <w:marRight w:val="0"/>
          <w:marTop w:val="0"/>
          <w:marBottom w:val="0"/>
          <w:divBdr>
            <w:top w:val="none" w:sz="0" w:space="0" w:color="auto"/>
            <w:left w:val="none" w:sz="0" w:space="0" w:color="auto"/>
            <w:bottom w:val="none" w:sz="0" w:space="0" w:color="auto"/>
            <w:right w:val="none" w:sz="0" w:space="0" w:color="auto"/>
          </w:divBdr>
          <w:divsChild>
            <w:div w:id="1392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601">
      <w:bodyDiv w:val="1"/>
      <w:marLeft w:val="0"/>
      <w:marRight w:val="0"/>
      <w:marTop w:val="0"/>
      <w:marBottom w:val="0"/>
      <w:divBdr>
        <w:top w:val="none" w:sz="0" w:space="0" w:color="auto"/>
        <w:left w:val="none" w:sz="0" w:space="0" w:color="auto"/>
        <w:bottom w:val="none" w:sz="0" w:space="0" w:color="auto"/>
        <w:right w:val="none" w:sz="0" w:space="0" w:color="auto"/>
      </w:divBdr>
      <w:divsChild>
        <w:div w:id="27344487">
          <w:marLeft w:val="0"/>
          <w:marRight w:val="0"/>
          <w:marTop w:val="0"/>
          <w:marBottom w:val="0"/>
          <w:divBdr>
            <w:top w:val="none" w:sz="0" w:space="0" w:color="auto"/>
            <w:left w:val="none" w:sz="0" w:space="0" w:color="auto"/>
            <w:bottom w:val="none" w:sz="0" w:space="0" w:color="auto"/>
            <w:right w:val="none" w:sz="0" w:space="0" w:color="auto"/>
          </w:divBdr>
          <w:divsChild>
            <w:div w:id="923683328">
              <w:marLeft w:val="0"/>
              <w:marRight w:val="0"/>
              <w:marTop w:val="0"/>
              <w:marBottom w:val="0"/>
              <w:divBdr>
                <w:top w:val="none" w:sz="0" w:space="0" w:color="auto"/>
                <w:left w:val="none" w:sz="0" w:space="0" w:color="auto"/>
                <w:bottom w:val="none" w:sz="0" w:space="0" w:color="auto"/>
                <w:right w:val="none" w:sz="0" w:space="0" w:color="auto"/>
              </w:divBdr>
            </w:div>
          </w:divsChild>
        </w:div>
        <w:div w:id="154418252">
          <w:marLeft w:val="0"/>
          <w:marRight w:val="0"/>
          <w:marTop w:val="0"/>
          <w:marBottom w:val="0"/>
          <w:divBdr>
            <w:top w:val="none" w:sz="0" w:space="0" w:color="auto"/>
            <w:left w:val="none" w:sz="0" w:space="0" w:color="auto"/>
            <w:bottom w:val="none" w:sz="0" w:space="0" w:color="auto"/>
            <w:right w:val="none" w:sz="0" w:space="0" w:color="auto"/>
          </w:divBdr>
          <w:divsChild>
            <w:div w:id="846822542">
              <w:marLeft w:val="0"/>
              <w:marRight w:val="0"/>
              <w:marTop w:val="0"/>
              <w:marBottom w:val="0"/>
              <w:divBdr>
                <w:top w:val="none" w:sz="0" w:space="0" w:color="auto"/>
                <w:left w:val="none" w:sz="0" w:space="0" w:color="auto"/>
                <w:bottom w:val="none" w:sz="0" w:space="0" w:color="auto"/>
                <w:right w:val="none" w:sz="0" w:space="0" w:color="auto"/>
              </w:divBdr>
            </w:div>
          </w:divsChild>
        </w:div>
        <w:div w:id="167327139">
          <w:marLeft w:val="0"/>
          <w:marRight w:val="0"/>
          <w:marTop w:val="0"/>
          <w:marBottom w:val="0"/>
          <w:divBdr>
            <w:top w:val="none" w:sz="0" w:space="0" w:color="auto"/>
            <w:left w:val="none" w:sz="0" w:space="0" w:color="auto"/>
            <w:bottom w:val="none" w:sz="0" w:space="0" w:color="auto"/>
            <w:right w:val="none" w:sz="0" w:space="0" w:color="auto"/>
          </w:divBdr>
          <w:divsChild>
            <w:div w:id="979845391">
              <w:marLeft w:val="0"/>
              <w:marRight w:val="0"/>
              <w:marTop w:val="0"/>
              <w:marBottom w:val="0"/>
              <w:divBdr>
                <w:top w:val="none" w:sz="0" w:space="0" w:color="auto"/>
                <w:left w:val="none" w:sz="0" w:space="0" w:color="auto"/>
                <w:bottom w:val="none" w:sz="0" w:space="0" w:color="auto"/>
                <w:right w:val="none" w:sz="0" w:space="0" w:color="auto"/>
              </w:divBdr>
            </w:div>
          </w:divsChild>
        </w:div>
        <w:div w:id="693767741">
          <w:marLeft w:val="0"/>
          <w:marRight w:val="0"/>
          <w:marTop w:val="0"/>
          <w:marBottom w:val="0"/>
          <w:divBdr>
            <w:top w:val="none" w:sz="0" w:space="0" w:color="auto"/>
            <w:left w:val="none" w:sz="0" w:space="0" w:color="auto"/>
            <w:bottom w:val="none" w:sz="0" w:space="0" w:color="auto"/>
            <w:right w:val="none" w:sz="0" w:space="0" w:color="auto"/>
          </w:divBdr>
          <w:divsChild>
            <w:div w:id="1780180239">
              <w:marLeft w:val="0"/>
              <w:marRight w:val="0"/>
              <w:marTop w:val="0"/>
              <w:marBottom w:val="0"/>
              <w:divBdr>
                <w:top w:val="none" w:sz="0" w:space="0" w:color="auto"/>
                <w:left w:val="none" w:sz="0" w:space="0" w:color="auto"/>
                <w:bottom w:val="none" w:sz="0" w:space="0" w:color="auto"/>
                <w:right w:val="none" w:sz="0" w:space="0" w:color="auto"/>
              </w:divBdr>
            </w:div>
          </w:divsChild>
        </w:div>
        <w:div w:id="989864615">
          <w:marLeft w:val="0"/>
          <w:marRight w:val="0"/>
          <w:marTop w:val="0"/>
          <w:marBottom w:val="0"/>
          <w:divBdr>
            <w:top w:val="none" w:sz="0" w:space="0" w:color="auto"/>
            <w:left w:val="none" w:sz="0" w:space="0" w:color="auto"/>
            <w:bottom w:val="none" w:sz="0" w:space="0" w:color="auto"/>
            <w:right w:val="none" w:sz="0" w:space="0" w:color="auto"/>
          </w:divBdr>
          <w:divsChild>
            <w:div w:id="1030373756">
              <w:marLeft w:val="0"/>
              <w:marRight w:val="0"/>
              <w:marTop w:val="0"/>
              <w:marBottom w:val="0"/>
              <w:divBdr>
                <w:top w:val="none" w:sz="0" w:space="0" w:color="auto"/>
                <w:left w:val="none" w:sz="0" w:space="0" w:color="auto"/>
                <w:bottom w:val="none" w:sz="0" w:space="0" w:color="auto"/>
                <w:right w:val="none" w:sz="0" w:space="0" w:color="auto"/>
              </w:divBdr>
            </w:div>
          </w:divsChild>
        </w:div>
        <w:div w:id="1097748560">
          <w:marLeft w:val="0"/>
          <w:marRight w:val="0"/>
          <w:marTop w:val="0"/>
          <w:marBottom w:val="0"/>
          <w:divBdr>
            <w:top w:val="none" w:sz="0" w:space="0" w:color="auto"/>
            <w:left w:val="none" w:sz="0" w:space="0" w:color="auto"/>
            <w:bottom w:val="none" w:sz="0" w:space="0" w:color="auto"/>
            <w:right w:val="none" w:sz="0" w:space="0" w:color="auto"/>
          </w:divBdr>
          <w:divsChild>
            <w:div w:id="1729304002">
              <w:marLeft w:val="0"/>
              <w:marRight w:val="0"/>
              <w:marTop w:val="0"/>
              <w:marBottom w:val="0"/>
              <w:divBdr>
                <w:top w:val="none" w:sz="0" w:space="0" w:color="auto"/>
                <w:left w:val="none" w:sz="0" w:space="0" w:color="auto"/>
                <w:bottom w:val="none" w:sz="0" w:space="0" w:color="auto"/>
                <w:right w:val="none" w:sz="0" w:space="0" w:color="auto"/>
              </w:divBdr>
            </w:div>
          </w:divsChild>
        </w:div>
        <w:div w:id="1230726100">
          <w:marLeft w:val="0"/>
          <w:marRight w:val="0"/>
          <w:marTop w:val="0"/>
          <w:marBottom w:val="0"/>
          <w:divBdr>
            <w:top w:val="none" w:sz="0" w:space="0" w:color="auto"/>
            <w:left w:val="none" w:sz="0" w:space="0" w:color="auto"/>
            <w:bottom w:val="none" w:sz="0" w:space="0" w:color="auto"/>
            <w:right w:val="none" w:sz="0" w:space="0" w:color="auto"/>
          </w:divBdr>
          <w:divsChild>
            <w:div w:id="1309285223">
              <w:marLeft w:val="0"/>
              <w:marRight w:val="0"/>
              <w:marTop w:val="0"/>
              <w:marBottom w:val="0"/>
              <w:divBdr>
                <w:top w:val="none" w:sz="0" w:space="0" w:color="auto"/>
                <w:left w:val="none" w:sz="0" w:space="0" w:color="auto"/>
                <w:bottom w:val="none" w:sz="0" w:space="0" w:color="auto"/>
                <w:right w:val="none" w:sz="0" w:space="0" w:color="auto"/>
              </w:divBdr>
            </w:div>
          </w:divsChild>
        </w:div>
        <w:div w:id="1238519499">
          <w:marLeft w:val="0"/>
          <w:marRight w:val="0"/>
          <w:marTop w:val="0"/>
          <w:marBottom w:val="0"/>
          <w:divBdr>
            <w:top w:val="none" w:sz="0" w:space="0" w:color="auto"/>
            <w:left w:val="none" w:sz="0" w:space="0" w:color="auto"/>
            <w:bottom w:val="none" w:sz="0" w:space="0" w:color="auto"/>
            <w:right w:val="none" w:sz="0" w:space="0" w:color="auto"/>
          </w:divBdr>
          <w:divsChild>
            <w:div w:id="501090253">
              <w:marLeft w:val="0"/>
              <w:marRight w:val="0"/>
              <w:marTop w:val="0"/>
              <w:marBottom w:val="0"/>
              <w:divBdr>
                <w:top w:val="none" w:sz="0" w:space="0" w:color="auto"/>
                <w:left w:val="none" w:sz="0" w:space="0" w:color="auto"/>
                <w:bottom w:val="none" w:sz="0" w:space="0" w:color="auto"/>
                <w:right w:val="none" w:sz="0" w:space="0" w:color="auto"/>
              </w:divBdr>
            </w:div>
          </w:divsChild>
        </w:div>
        <w:div w:id="1526752636">
          <w:marLeft w:val="0"/>
          <w:marRight w:val="0"/>
          <w:marTop w:val="0"/>
          <w:marBottom w:val="0"/>
          <w:divBdr>
            <w:top w:val="none" w:sz="0" w:space="0" w:color="auto"/>
            <w:left w:val="none" w:sz="0" w:space="0" w:color="auto"/>
            <w:bottom w:val="none" w:sz="0" w:space="0" w:color="auto"/>
            <w:right w:val="none" w:sz="0" w:space="0" w:color="auto"/>
          </w:divBdr>
          <w:divsChild>
            <w:div w:id="223416740">
              <w:marLeft w:val="0"/>
              <w:marRight w:val="0"/>
              <w:marTop w:val="0"/>
              <w:marBottom w:val="0"/>
              <w:divBdr>
                <w:top w:val="none" w:sz="0" w:space="0" w:color="auto"/>
                <w:left w:val="none" w:sz="0" w:space="0" w:color="auto"/>
                <w:bottom w:val="none" w:sz="0" w:space="0" w:color="auto"/>
                <w:right w:val="none" w:sz="0" w:space="0" w:color="auto"/>
              </w:divBdr>
            </w:div>
          </w:divsChild>
        </w:div>
        <w:div w:id="1531724588">
          <w:marLeft w:val="0"/>
          <w:marRight w:val="0"/>
          <w:marTop w:val="0"/>
          <w:marBottom w:val="0"/>
          <w:divBdr>
            <w:top w:val="none" w:sz="0" w:space="0" w:color="auto"/>
            <w:left w:val="none" w:sz="0" w:space="0" w:color="auto"/>
            <w:bottom w:val="none" w:sz="0" w:space="0" w:color="auto"/>
            <w:right w:val="none" w:sz="0" w:space="0" w:color="auto"/>
          </w:divBdr>
          <w:divsChild>
            <w:div w:id="1998486139">
              <w:marLeft w:val="0"/>
              <w:marRight w:val="0"/>
              <w:marTop w:val="0"/>
              <w:marBottom w:val="0"/>
              <w:divBdr>
                <w:top w:val="none" w:sz="0" w:space="0" w:color="auto"/>
                <w:left w:val="none" w:sz="0" w:space="0" w:color="auto"/>
                <w:bottom w:val="none" w:sz="0" w:space="0" w:color="auto"/>
                <w:right w:val="none" w:sz="0" w:space="0" w:color="auto"/>
              </w:divBdr>
            </w:div>
          </w:divsChild>
        </w:div>
        <w:div w:id="1682512592">
          <w:marLeft w:val="0"/>
          <w:marRight w:val="0"/>
          <w:marTop w:val="0"/>
          <w:marBottom w:val="0"/>
          <w:divBdr>
            <w:top w:val="none" w:sz="0" w:space="0" w:color="auto"/>
            <w:left w:val="none" w:sz="0" w:space="0" w:color="auto"/>
            <w:bottom w:val="none" w:sz="0" w:space="0" w:color="auto"/>
            <w:right w:val="none" w:sz="0" w:space="0" w:color="auto"/>
          </w:divBdr>
          <w:divsChild>
            <w:div w:id="1361781114">
              <w:marLeft w:val="0"/>
              <w:marRight w:val="0"/>
              <w:marTop w:val="0"/>
              <w:marBottom w:val="0"/>
              <w:divBdr>
                <w:top w:val="none" w:sz="0" w:space="0" w:color="auto"/>
                <w:left w:val="none" w:sz="0" w:space="0" w:color="auto"/>
                <w:bottom w:val="none" w:sz="0" w:space="0" w:color="auto"/>
                <w:right w:val="none" w:sz="0" w:space="0" w:color="auto"/>
              </w:divBdr>
            </w:div>
          </w:divsChild>
        </w:div>
        <w:div w:id="2099449181">
          <w:marLeft w:val="0"/>
          <w:marRight w:val="0"/>
          <w:marTop w:val="0"/>
          <w:marBottom w:val="0"/>
          <w:divBdr>
            <w:top w:val="none" w:sz="0" w:space="0" w:color="auto"/>
            <w:left w:val="none" w:sz="0" w:space="0" w:color="auto"/>
            <w:bottom w:val="none" w:sz="0" w:space="0" w:color="auto"/>
            <w:right w:val="none" w:sz="0" w:space="0" w:color="auto"/>
          </w:divBdr>
          <w:divsChild>
            <w:div w:id="1436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ngland.nhs.uk/wp-content/uploads/2022/08/B1465-6.-PSIRF-Prep-Guide-v1-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ew.officeapps.live.com/op/view.aspx?src=https%3A%2F%2Fwww.england.nhs.uk%2Fwp-content%2Fuploads%2F2022%2F08%2FB1465-8.-Patient-safety-incident-response-plan-template-v1-FINAL.docx&amp;wdOrigin=BROWSELINK" TargetMode="External"/><Relationship Id="rId17" Type="http://schemas.openxmlformats.org/officeDocument/2006/relationships/hyperlink" Target="https://view.officeapps.live.com/op/view.aspx?src=https%3A%2F%2Fwww.england.nhs.uk%2Fwp-content%2Fuploads%2F2022%2F08%2FB1465-8.-Patient-safety-incident-response-plan-template-v1-FINAL.docx&amp;wdOrigin=BROWSELINK" TargetMode="External"/><Relationship Id="rId2" Type="http://schemas.openxmlformats.org/officeDocument/2006/relationships/customXml" Target="../customXml/item2.xml"/><Relationship Id="rId16" Type="http://schemas.openxmlformats.org/officeDocument/2006/relationships/hyperlink" Target="https://www.cqc.org.uk/guidance-providers/regulations-enforcement/regulation-20-duty-candou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2/08/B1465-3.-Guide-to-responding-proportionately-to-patient-safety-incidents-v1-FINAL.pdf" TargetMode="External"/><Relationship Id="rId5" Type="http://schemas.openxmlformats.org/officeDocument/2006/relationships/numbering" Target="numbering.xml"/><Relationship Id="rId15" Type="http://schemas.openxmlformats.org/officeDocument/2006/relationships/hyperlink" Target="https://www.england.nhs.uk/wp-content/uploads/2022/08/B1465-3.-Guide-to-responding-proportionately-to-patient-safety-incidents-v1-FINAL.pdf" TargetMode="External"/><Relationship Id="rId10" Type="http://schemas.openxmlformats.org/officeDocument/2006/relationships/endnotes" Target="endnotes.xml"/><Relationship Id="rId19" Type="http://schemas.openxmlformats.org/officeDocument/2006/relationships/hyperlink" Target="https://www.england.nhs.uk/wp-content/uploads/2022/08/B1465-Safety-action-development-v1-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22/08/B1465-2.-Engaging-and-involving...-v1-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33491345/" TargetMode="External"/><Relationship Id="rId2" Type="http://schemas.openxmlformats.org/officeDocument/2006/relationships/hyperlink" Target="https://www.england.nhs.uk/wp-content/uploads/2022/08/B1465-3.-Guide-to-responding-proportionately-to-patient-safety-incidents-v1-FINAL.pdf" TargetMode="External"/><Relationship Id="rId1" Type="http://schemas.openxmlformats.org/officeDocument/2006/relationships/hyperlink" Target="https://www.england.nhs.uk/wp-content/uploads/2022/08/B1465-6.-PSIRF-Prep-Guide-v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8272ff-30e2-44e5-bc00-e42a8654cac1">
      <Terms xmlns="http://schemas.microsoft.com/office/infopath/2007/PartnerControls"/>
    </lcf76f155ced4ddcb4097134ff3c332f>
    <TaxCatchAll xmlns="cccaf3ac-2de9-44d4-aa31-54302fceb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AC06ADD7EA74395EB9E853C7AFA71" ma:contentTypeVersion="19" ma:contentTypeDescription="Create a new document." ma:contentTypeScope="" ma:versionID="deedae2f03c4dd2222cc19dd187d088e">
  <xsd:schema xmlns:xsd="http://www.w3.org/2001/XMLSchema" xmlns:xs="http://www.w3.org/2001/XMLSchema" xmlns:p="http://schemas.microsoft.com/office/2006/metadata/properties" xmlns:ns2="768272ff-30e2-44e5-bc00-e42a8654cac1" xmlns:ns3="cccaf3ac-2de9-44d4-aa31-54302fceb5f7" targetNamespace="http://schemas.microsoft.com/office/2006/metadata/properties" ma:root="true" ma:fieldsID="d3042bae77416b548e92cb0761bc0245" ns2:_="" ns3:_="">
    <xsd:import namespace="768272ff-30e2-44e5-bc00-e42a8654cac1"/>
    <xsd:import namespace="cccaf3ac-2de9-44d4-aa31-54302fceb5f7"/>
    <xsd:element name="properties">
      <xsd:complexType>
        <xsd:sequence>
          <xsd:element name="documentManagement">
            <xsd:complexType>
              <xsd:all>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272ff-30e2-44e5-bc00-e42a8654cac1"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6c0586-99a1-427c-ac2f-3e117a8f572b}"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D8FE8-D393-4C50-AC40-FD161BF0EAC2}">
  <ds:schemaRefs>
    <ds:schemaRef ds:uri="http://schemas.microsoft.com/office/2006/metadata/properties"/>
    <ds:schemaRef ds:uri="http://schemas.microsoft.com/office/infopath/2007/PartnerControls"/>
    <ds:schemaRef ds:uri="768272ff-30e2-44e5-bc00-e42a8654cac1"/>
    <ds:schemaRef ds:uri="cccaf3ac-2de9-44d4-aa31-54302fceb5f7"/>
  </ds:schemaRefs>
</ds:datastoreItem>
</file>

<file path=customXml/itemProps2.xml><?xml version="1.0" encoding="utf-8"?>
<ds:datastoreItem xmlns:ds="http://schemas.openxmlformats.org/officeDocument/2006/customXml" ds:itemID="{BBEB18C7-9AAA-4458-A035-3F952FB9E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272ff-30e2-44e5-bc00-e42a8654cac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0ED62-99BB-4ACF-B186-6F6155C2B262}">
  <ds:schemaRefs>
    <ds:schemaRef ds:uri="http://schemas.openxmlformats.org/officeDocument/2006/bibliography"/>
  </ds:schemaRefs>
</ds:datastoreItem>
</file>

<file path=customXml/itemProps4.xml><?xml version="1.0" encoding="utf-8"?>
<ds:datastoreItem xmlns:ds="http://schemas.openxmlformats.org/officeDocument/2006/customXml" ds:itemID="{84D8EE6D-3573-4516-9E09-1268005CB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Mosley</dc:creator>
  <cp:keywords/>
  <dc:description/>
  <cp:lastModifiedBy>Samantha Warne</cp:lastModifiedBy>
  <cp:revision>2</cp:revision>
  <dcterms:created xsi:type="dcterms:W3CDTF">2022-11-21T14:06:00Z</dcterms:created>
  <dcterms:modified xsi:type="dcterms:W3CDTF">2022-11-21T14:06:00Z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0x010100E6FAC06ADD7EA74395EB9E853C7AFA71</vt:lpwstr>
  </property>
  <property fmtid="{D5CDD505-2E9C-101B-9397-08002B2CF9AE}" pid="3" name="MediaServiceImageTags">
    <vt:lpwstr/>
  </property>
  <property fmtid="{D5CDD505-2E9C-101B-9397-08002B2CF9AE}" pid="4" name="_NewReviewCycle">
    <vt:lpwstr/>
  </property>
</Properties>
</file>