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FA" w:rsidRPr="002A65FA" w:rsidRDefault="002A65FA" w:rsidP="002A65FA">
      <w:pPr>
        <w:pStyle w:val="Maintitle"/>
      </w:pPr>
      <w:r>
        <w:t>Quality Impact Assessment (QIA) Policy</w:t>
      </w:r>
    </w:p>
    <w:p w:rsidR="002F02AC" w:rsidRDefault="002F02AC" w:rsidP="00264193">
      <w:pPr>
        <w:pStyle w:val="BodyText"/>
      </w:pPr>
    </w:p>
    <w:p w:rsidR="002F02AC" w:rsidRPr="00E126A8" w:rsidRDefault="002A65FA" w:rsidP="00264193">
      <w:pPr>
        <w:pStyle w:val="BodyText"/>
      </w:pPr>
      <w:r>
        <w:t xml:space="preserve">This policy describes how the Trust assess the impact of operational and business changes on the quality of our activities. An assessment form and framework is provided to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575"/>
      </w:tblGrid>
      <w:tr w:rsidR="002F02AC" w:rsidTr="00555565">
        <w:trPr>
          <w:jc w:val="center"/>
        </w:trPr>
        <w:tc>
          <w:tcPr>
            <w:tcW w:w="5000" w:type="pct"/>
            <w:gridSpan w:val="2"/>
            <w:shd w:val="clear" w:color="auto" w:fill="auto"/>
            <w:tcMar>
              <w:left w:w="0" w:type="dxa"/>
              <w:right w:w="0" w:type="dxa"/>
            </w:tcMar>
            <w:vAlign w:val="center"/>
          </w:tcPr>
          <w:p w:rsidR="002F02AC" w:rsidRPr="0083027B" w:rsidRDefault="002F02AC" w:rsidP="00555565">
            <w:pPr>
              <w:pStyle w:val="Tableheader"/>
            </w:pPr>
            <w:r w:rsidRPr="0083027B">
              <w:t>Document Detail</w:t>
            </w:r>
          </w:p>
        </w:tc>
      </w:tr>
      <w:tr w:rsidR="002F02AC" w:rsidTr="00E27AD6">
        <w:trPr>
          <w:jc w:val="center"/>
        </w:trPr>
        <w:tc>
          <w:tcPr>
            <w:tcW w:w="1484" w:type="pct"/>
            <w:vAlign w:val="center"/>
          </w:tcPr>
          <w:p w:rsidR="002F02AC" w:rsidRPr="009B56A8" w:rsidRDefault="00264193" w:rsidP="00706173">
            <w:pPr>
              <w:pStyle w:val="Tabletext"/>
            </w:pPr>
            <w:r>
              <w:t>GTi page name</w:t>
            </w:r>
          </w:p>
        </w:tc>
        <w:tc>
          <w:tcPr>
            <w:tcW w:w="3516" w:type="pct"/>
            <w:vAlign w:val="center"/>
          </w:tcPr>
          <w:p w:rsidR="009546AB" w:rsidRPr="009B56A8" w:rsidRDefault="009546AB" w:rsidP="00706173">
            <w:pPr>
              <w:pStyle w:val="Tabletext"/>
            </w:pPr>
            <w:r>
              <w:t>--</w:t>
            </w:r>
          </w:p>
        </w:tc>
      </w:tr>
      <w:tr w:rsidR="002F02AC" w:rsidTr="00E27AD6">
        <w:trPr>
          <w:jc w:val="center"/>
        </w:trPr>
        <w:tc>
          <w:tcPr>
            <w:tcW w:w="1484" w:type="pct"/>
            <w:vAlign w:val="center"/>
          </w:tcPr>
          <w:p w:rsidR="002F02AC" w:rsidRDefault="00264193" w:rsidP="00555565">
            <w:pPr>
              <w:pStyle w:val="Tabletext"/>
            </w:pPr>
            <w:r>
              <w:t>GTi page URL</w:t>
            </w:r>
          </w:p>
        </w:tc>
        <w:tc>
          <w:tcPr>
            <w:tcW w:w="3516" w:type="pct"/>
            <w:vAlign w:val="center"/>
          </w:tcPr>
          <w:p w:rsidR="002F02AC" w:rsidRDefault="009546AB" w:rsidP="00555565">
            <w:pPr>
              <w:pStyle w:val="Tabletext"/>
            </w:pPr>
            <w:r>
              <w:t>--</w:t>
            </w:r>
          </w:p>
        </w:tc>
      </w:tr>
      <w:tr w:rsidR="002F02AC" w:rsidTr="00E27AD6">
        <w:trPr>
          <w:jc w:val="center"/>
        </w:trPr>
        <w:tc>
          <w:tcPr>
            <w:tcW w:w="1484" w:type="pct"/>
          </w:tcPr>
          <w:p w:rsidR="002F02AC" w:rsidRPr="009B56A8" w:rsidRDefault="002F02AC" w:rsidP="00555565">
            <w:pPr>
              <w:pStyle w:val="Tabletext"/>
            </w:pPr>
            <w:r>
              <w:t>Version</w:t>
            </w:r>
          </w:p>
        </w:tc>
        <w:tc>
          <w:tcPr>
            <w:tcW w:w="3516" w:type="pct"/>
          </w:tcPr>
          <w:p w:rsidR="002F02AC" w:rsidRPr="009B56A8" w:rsidRDefault="009546AB" w:rsidP="00555565">
            <w:pPr>
              <w:pStyle w:val="Tabletext"/>
            </w:pPr>
            <w:r>
              <w:t>1.0</w:t>
            </w:r>
          </w:p>
        </w:tc>
      </w:tr>
      <w:tr w:rsidR="002F02AC" w:rsidRPr="00F95A87" w:rsidTr="00E27AD6">
        <w:trPr>
          <w:jc w:val="center"/>
        </w:trPr>
        <w:tc>
          <w:tcPr>
            <w:tcW w:w="1484" w:type="pct"/>
          </w:tcPr>
          <w:p w:rsidR="002F02AC" w:rsidRPr="009B56A8" w:rsidRDefault="00264193" w:rsidP="00555565">
            <w:pPr>
              <w:pStyle w:val="Tabletext"/>
            </w:pPr>
            <w:r>
              <w:t>Approving body</w:t>
            </w:r>
          </w:p>
        </w:tc>
        <w:tc>
          <w:tcPr>
            <w:tcW w:w="3516" w:type="pct"/>
          </w:tcPr>
          <w:p w:rsidR="002F02AC" w:rsidRPr="009B56A8" w:rsidRDefault="009546AB" w:rsidP="00264193">
            <w:pPr>
              <w:pStyle w:val="Tabletext"/>
            </w:pPr>
            <w:r>
              <w:t>TME</w:t>
            </w:r>
          </w:p>
        </w:tc>
      </w:tr>
      <w:tr w:rsidR="00264193" w:rsidTr="004C1991">
        <w:trPr>
          <w:jc w:val="center"/>
        </w:trPr>
        <w:tc>
          <w:tcPr>
            <w:tcW w:w="1484" w:type="pct"/>
          </w:tcPr>
          <w:p w:rsidR="00264193" w:rsidRPr="00264193" w:rsidRDefault="00264193" w:rsidP="00264193">
            <w:pPr>
              <w:pStyle w:val="Tabletext"/>
            </w:pPr>
            <w:r>
              <w:t>Stakeholder Group</w:t>
            </w:r>
          </w:p>
        </w:tc>
        <w:tc>
          <w:tcPr>
            <w:tcW w:w="3516" w:type="pct"/>
          </w:tcPr>
          <w:p w:rsidR="00264193" w:rsidRPr="00264193" w:rsidRDefault="00264193" w:rsidP="00264193">
            <w:pPr>
              <w:pStyle w:val="Tabletext"/>
            </w:pPr>
            <w:r>
              <w:t>See Approved Documents policy for details</w:t>
            </w:r>
          </w:p>
        </w:tc>
      </w:tr>
      <w:tr w:rsidR="009546AB" w:rsidTr="00B945EF">
        <w:trPr>
          <w:jc w:val="center"/>
        </w:trPr>
        <w:tc>
          <w:tcPr>
            <w:tcW w:w="1484" w:type="pct"/>
          </w:tcPr>
          <w:p w:rsidR="009546AB" w:rsidRPr="00264193" w:rsidRDefault="009546AB" w:rsidP="009546AB">
            <w:pPr>
              <w:pStyle w:val="Tabletext"/>
            </w:pPr>
            <w:r>
              <w:t>Owner</w:t>
            </w:r>
          </w:p>
        </w:tc>
        <w:tc>
          <w:tcPr>
            <w:tcW w:w="3516" w:type="pct"/>
          </w:tcPr>
          <w:p w:rsidR="009546AB" w:rsidRDefault="009546AB" w:rsidP="009546AB">
            <w:pPr>
              <w:spacing w:before="20" w:after="20"/>
            </w:pPr>
            <w:r>
              <w:t>Chief Operating Officer</w:t>
            </w:r>
          </w:p>
        </w:tc>
      </w:tr>
      <w:tr w:rsidR="00264193" w:rsidTr="00B945EF">
        <w:trPr>
          <w:jc w:val="center"/>
        </w:trPr>
        <w:tc>
          <w:tcPr>
            <w:tcW w:w="1484" w:type="pct"/>
          </w:tcPr>
          <w:p w:rsidR="00264193" w:rsidRPr="00264193" w:rsidRDefault="00264193" w:rsidP="00264193">
            <w:pPr>
              <w:pStyle w:val="Tabletext"/>
            </w:pPr>
            <w:r w:rsidRPr="003466E8">
              <w:t>Responsible Lead</w:t>
            </w:r>
          </w:p>
        </w:tc>
        <w:tc>
          <w:tcPr>
            <w:tcW w:w="3516" w:type="pct"/>
          </w:tcPr>
          <w:p w:rsidR="00264193" w:rsidRPr="00264193" w:rsidRDefault="009546AB" w:rsidP="00264193">
            <w:pPr>
              <w:pStyle w:val="Tabletext"/>
            </w:pPr>
            <w:r>
              <w:t>Director of Operations</w:t>
            </w:r>
          </w:p>
        </w:tc>
      </w:tr>
      <w:tr w:rsidR="00264193" w:rsidRPr="00F95A87" w:rsidTr="00445424">
        <w:trPr>
          <w:jc w:val="center"/>
        </w:trPr>
        <w:tc>
          <w:tcPr>
            <w:tcW w:w="1484" w:type="pct"/>
          </w:tcPr>
          <w:p w:rsidR="00264193" w:rsidRPr="00264193" w:rsidRDefault="00264193" w:rsidP="00264193">
            <w:pPr>
              <w:pStyle w:val="Tabletext"/>
            </w:pPr>
            <w:r w:rsidRPr="00F95A87">
              <w:t>Effective from</w:t>
            </w:r>
          </w:p>
        </w:tc>
        <w:tc>
          <w:tcPr>
            <w:tcW w:w="3516" w:type="pct"/>
          </w:tcPr>
          <w:p w:rsidR="00264193" w:rsidRPr="00264193" w:rsidRDefault="009546AB" w:rsidP="00264193">
            <w:pPr>
              <w:pStyle w:val="Tabletext"/>
            </w:pPr>
            <w:r>
              <w:t>January 2019</w:t>
            </w:r>
          </w:p>
        </w:tc>
      </w:tr>
      <w:tr w:rsidR="002F02AC" w:rsidRPr="00F95A87" w:rsidTr="00E27AD6">
        <w:trPr>
          <w:jc w:val="center"/>
        </w:trPr>
        <w:tc>
          <w:tcPr>
            <w:tcW w:w="1484" w:type="pct"/>
          </w:tcPr>
          <w:p w:rsidR="002F02AC" w:rsidRPr="009B56A8" w:rsidRDefault="002F02AC" w:rsidP="00555565">
            <w:pPr>
              <w:pStyle w:val="Tabletext"/>
            </w:pPr>
            <w:r>
              <w:t>Date last reviewed</w:t>
            </w:r>
          </w:p>
        </w:tc>
        <w:tc>
          <w:tcPr>
            <w:tcW w:w="3516" w:type="pct"/>
          </w:tcPr>
          <w:p w:rsidR="002F02AC" w:rsidRPr="009B56A8" w:rsidRDefault="009546AB" w:rsidP="00555565">
            <w:pPr>
              <w:pStyle w:val="Tabletext"/>
            </w:pPr>
            <w:r>
              <w:t>November 2018</w:t>
            </w:r>
          </w:p>
        </w:tc>
      </w:tr>
      <w:tr w:rsidR="002F02AC" w:rsidTr="00E27AD6">
        <w:trPr>
          <w:jc w:val="center"/>
        </w:trPr>
        <w:tc>
          <w:tcPr>
            <w:tcW w:w="1484" w:type="pct"/>
          </w:tcPr>
          <w:p w:rsidR="002F02AC" w:rsidRPr="009B56A8" w:rsidRDefault="002F02AC" w:rsidP="00555565">
            <w:pPr>
              <w:pStyle w:val="Tabletext"/>
            </w:pPr>
            <w:r>
              <w:t>Date of next review</w:t>
            </w:r>
          </w:p>
        </w:tc>
        <w:tc>
          <w:tcPr>
            <w:tcW w:w="3516" w:type="pct"/>
          </w:tcPr>
          <w:p w:rsidR="002F02AC" w:rsidRPr="009B56A8" w:rsidRDefault="009546AB" w:rsidP="00555565">
            <w:pPr>
              <w:pStyle w:val="Tabletext"/>
            </w:pPr>
            <w:r>
              <w:t>November 2021</w:t>
            </w:r>
          </w:p>
        </w:tc>
      </w:tr>
      <w:tr w:rsidR="009546AB" w:rsidTr="00E27AD6">
        <w:trPr>
          <w:jc w:val="center"/>
        </w:trPr>
        <w:tc>
          <w:tcPr>
            <w:tcW w:w="1484" w:type="pct"/>
          </w:tcPr>
          <w:p w:rsidR="009546AB" w:rsidRPr="009B56A8" w:rsidRDefault="009546AB" w:rsidP="009546AB">
            <w:pPr>
              <w:pStyle w:val="Tabletext"/>
            </w:pPr>
            <w:r>
              <w:t>Superseded documents</w:t>
            </w:r>
          </w:p>
        </w:tc>
        <w:tc>
          <w:tcPr>
            <w:tcW w:w="3516" w:type="pct"/>
          </w:tcPr>
          <w:p w:rsidR="009546AB" w:rsidRPr="00FE5BDB" w:rsidRDefault="009546AB" w:rsidP="009546AB">
            <w:pPr>
              <w:spacing w:before="20" w:after="20"/>
            </w:pPr>
            <w:r>
              <w:t>n/a</w:t>
            </w:r>
          </w:p>
        </w:tc>
      </w:tr>
      <w:tr w:rsidR="002F02AC" w:rsidTr="00E27AD6">
        <w:trPr>
          <w:jc w:val="center"/>
        </w:trPr>
        <w:tc>
          <w:tcPr>
            <w:tcW w:w="1484" w:type="pct"/>
          </w:tcPr>
          <w:p w:rsidR="002F02AC" w:rsidRPr="009B56A8" w:rsidRDefault="002F02AC" w:rsidP="00555565">
            <w:pPr>
              <w:pStyle w:val="Tabletext"/>
            </w:pPr>
            <w:r>
              <w:t>Related documents</w:t>
            </w:r>
          </w:p>
        </w:tc>
        <w:tc>
          <w:tcPr>
            <w:tcW w:w="3516" w:type="pct"/>
          </w:tcPr>
          <w:p w:rsidR="002F02AC" w:rsidRPr="009B56A8" w:rsidRDefault="00B03888" w:rsidP="00555565">
            <w:pPr>
              <w:pStyle w:val="Tabletext"/>
            </w:pPr>
            <w:r>
              <w:t>QIA impact assessment table, QIA process diagram, QIA assessment form</w:t>
            </w:r>
          </w:p>
        </w:tc>
      </w:tr>
      <w:tr w:rsidR="002F02AC" w:rsidTr="00E27AD6">
        <w:trPr>
          <w:jc w:val="center"/>
        </w:trPr>
        <w:tc>
          <w:tcPr>
            <w:tcW w:w="1484" w:type="pct"/>
          </w:tcPr>
          <w:p w:rsidR="002F02AC" w:rsidRPr="009B56A8" w:rsidRDefault="002F02AC" w:rsidP="00555565">
            <w:pPr>
              <w:pStyle w:val="Tabletext"/>
            </w:pPr>
            <w:r>
              <w:t>Keywords</w:t>
            </w:r>
          </w:p>
        </w:tc>
        <w:tc>
          <w:tcPr>
            <w:tcW w:w="3516" w:type="pct"/>
          </w:tcPr>
          <w:p w:rsidR="002F02AC" w:rsidRPr="009B56A8" w:rsidRDefault="00B03888" w:rsidP="00B03888">
            <w:pPr>
              <w:pStyle w:val="Tabletext"/>
            </w:pPr>
            <w:r>
              <w:t>QIA; Quality Impact Assessment; CIP; Cost Improvement Plan; Patient Safety; Clinical Effectiveness; Patient Experience</w:t>
            </w:r>
          </w:p>
        </w:tc>
      </w:tr>
    </w:tbl>
    <w:p w:rsidR="002F02AC" w:rsidRDefault="002F02AC" w:rsidP="00ED47FE">
      <w:pPr>
        <w:pStyle w:val="BodyText"/>
      </w:pPr>
    </w:p>
    <w:p w:rsidR="002F02AC" w:rsidRDefault="002F02AC" w:rsidP="00ED47FE">
      <w:pPr>
        <w:pStyle w:val="BodyText"/>
      </w:pPr>
    </w:p>
    <w:p w:rsidR="002F02AC" w:rsidRDefault="002F02AC" w:rsidP="00ED47FE">
      <w:pPr>
        <w:pStyle w:val="BodyText"/>
        <w:sectPr w:rsidR="002F02AC" w:rsidSect="00845271">
          <w:headerReference w:type="default" r:id="rId12"/>
          <w:footerReference w:type="default" r:id="rId13"/>
          <w:pgSz w:w="11906" w:h="16838"/>
          <w:pgMar w:top="1440" w:right="1286" w:bottom="1440" w:left="1260" w:header="708" w:footer="708" w:gutter="0"/>
          <w:cols w:space="708"/>
          <w:docGrid w:linePitch="360"/>
        </w:sectPr>
      </w:pPr>
    </w:p>
    <w:p w:rsidR="002F02AC" w:rsidRPr="002F02AC" w:rsidRDefault="002F02AC" w:rsidP="008D3222">
      <w:pPr>
        <w:pStyle w:val="Heading1"/>
      </w:pPr>
      <w:r w:rsidRPr="002F02AC">
        <w:t>Scope</w:t>
      </w:r>
    </w:p>
    <w:p w:rsidR="002C5D3C" w:rsidRPr="002C5D3C" w:rsidRDefault="002C5D3C" w:rsidP="002C5D3C">
      <w:pPr>
        <w:pStyle w:val="BodyTextnumberedparaL2"/>
      </w:pPr>
      <w:r w:rsidRPr="002C5D3C">
        <w:t xml:space="preserve">The Quality Impact Assessment policy has been developed to ensure that we have the appropriate steps in place to safeguard quality whilst delivering changes to service delivery. This process should be used to assess the impact that the Cost Improvement Plan (CIP), may have on the quality of care provided to patients at Guys and St Thomas’ NHS Foundation Trust. </w:t>
      </w:r>
    </w:p>
    <w:p w:rsidR="002C5D3C" w:rsidRPr="002C5D3C" w:rsidRDefault="002C5D3C" w:rsidP="002C5D3C">
      <w:pPr>
        <w:pStyle w:val="BodyTextnumberedparaL2"/>
      </w:pPr>
      <w:r w:rsidRPr="002C5D3C">
        <w:t>Quality Impact Assessment (QIA) are required to be undertaken for any CIP as they support quality governance by assessing the impact on quality to inform and enable appropriate decision-making. They are embedded in the revenue buisness case template and will need to be complted as part of that process.</w:t>
      </w:r>
    </w:p>
    <w:p w:rsidR="002C5D3C" w:rsidRPr="002C5D3C" w:rsidRDefault="002C5D3C" w:rsidP="002C5D3C">
      <w:pPr>
        <w:pStyle w:val="BodyTextnumberedparaL2"/>
      </w:pPr>
      <w:r w:rsidRPr="002C5D3C">
        <w:t xml:space="preserve">Three key areas of quality indicators need to be considered (although other indicators that may be relevant should be considered): </w:t>
      </w:r>
    </w:p>
    <w:p w:rsidR="002C5D3C" w:rsidRPr="002C5D3C" w:rsidRDefault="002C5D3C" w:rsidP="002C5D3C">
      <w:pPr>
        <w:pStyle w:val="ListBullet"/>
      </w:pPr>
      <w:r w:rsidRPr="002C5D3C">
        <w:t xml:space="preserve">Patient Safety  </w:t>
      </w:r>
    </w:p>
    <w:p w:rsidR="002C5D3C" w:rsidRPr="002C5D3C" w:rsidRDefault="002C5D3C" w:rsidP="002C5D3C">
      <w:pPr>
        <w:pStyle w:val="ListBullet"/>
      </w:pPr>
      <w:r w:rsidRPr="002C5D3C">
        <w:t xml:space="preserve">Clinical Effectiveness </w:t>
      </w:r>
    </w:p>
    <w:p w:rsidR="00397D6F" w:rsidRDefault="002C5D3C" w:rsidP="002C5D3C">
      <w:pPr>
        <w:pStyle w:val="ListBullet"/>
      </w:pPr>
      <w:r w:rsidRPr="002C5D3C">
        <w:t>Patient Experience</w:t>
      </w:r>
    </w:p>
    <w:p w:rsidR="002F02AC" w:rsidRDefault="002F02AC" w:rsidP="008D3222">
      <w:pPr>
        <w:pStyle w:val="Heading1ruled"/>
      </w:pPr>
      <w:r w:rsidRPr="00DA6CC0">
        <w:t>Rationale</w:t>
      </w:r>
    </w:p>
    <w:p w:rsidR="002C5D3C" w:rsidRPr="002C5D3C" w:rsidRDefault="002C5D3C" w:rsidP="002C5D3C">
      <w:pPr>
        <w:pStyle w:val="BodyText"/>
      </w:pPr>
      <w:r w:rsidRPr="002C5D3C">
        <w:t xml:space="preserve">The National Quality Board has produced guidance which outlines how we as a provider trust must </w:t>
      </w:r>
      <w:r w:rsidR="00794EDE">
        <w:t xml:space="preserve">assess the </w:t>
      </w:r>
      <w:r w:rsidRPr="002C5D3C">
        <w:t xml:space="preserve">quality impact </w:t>
      </w:r>
      <w:r w:rsidR="00794EDE">
        <w:t xml:space="preserve">of </w:t>
      </w:r>
      <w:r w:rsidRPr="002C5D3C">
        <w:t xml:space="preserve">our CIPs. </w:t>
      </w:r>
    </w:p>
    <w:p w:rsidR="002C5D3C" w:rsidRPr="002C5D3C" w:rsidRDefault="002C5D3C" w:rsidP="002C5D3C">
      <w:pPr>
        <w:pStyle w:val="BodyText"/>
      </w:pPr>
      <w:r w:rsidRPr="002C5D3C">
        <w:t>The key point is that any CIP, contract variation must be subject to the QIA process:</w:t>
      </w:r>
    </w:p>
    <w:p w:rsidR="002C5D3C" w:rsidRPr="002C5D3C" w:rsidRDefault="002C5D3C" w:rsidP="002C5D3C">
      <w:pPr>
        <w:pStyle w:val="ListBullet"/>
      </w:pPr>
      <w:r w:rsidRPr="002C5D3C">
        <w:t xml:space="preserve">Staff making the changes must be involved in the development of the QIA  </w:t>
      </w:r>
    </w:p>
    <w:p w:rsidR="002C5D3C" w:rsidRPr="002C5D3C" w:rsidRDefault="002C5D3C" w:rsidP="002C5D3C">
      <w:pPr>
        <w:pStyle w:val="ListBullet"/>
      </w:pPr>
      <w:r w:rsidRPr="002C5D3C">
        <w:t xml:space="preserve">The majority of CIPs should be on changes to current processes, rather than top slicing current budgets </w:t>
      </w:r>
    </w:p>
    <w:p w:rsidR="002C5D3C" w:rsidRPr="002C5D3C" w:rsidRDefault="002C5D3C" w:rsidP="002C5D3C">
      <w:pPr>
        <w:pStyle w:val="ListBullet"/>
      </w:pPr>
      <w:r w:rsidRPr="002C5D3C">
        <w:t xml:space="preserve">Where possible CIPs should have a neutral or positive impact on quality. </w:t>
      </w:r>
    </w:p>
    <w:p w:rsidR="002C5D3C" w:rsidRPr="002C5D3C" w:rsidRDefault="002C5D3C" w:rsidP="002C5D3C">
      <w:pPr>
        <w:pStyle w:val="ListBullet"/>
      </w:pPr>
      <w:r w:rsidRPr="002C5D3C">
        <w:t xml:space="preserve">Changes should not bring quality below essential common standards. </w:t>
      </w:r>
    </w:p>
    <w:p w:rsidR="002C5D3C" w:rsidRPr="002C5D3C" w:rsidRDefault="002C5D3C" w:rsidP="002C5D3C">
      <w:pPr>
        <w:pStyle w:val="ListBullet"/>
      </w:pPr>
      <w:r w:rsidRPr="002C5D3C">
        <w:t xml:space="preserve">Changes should be categorised by their potential impact on quality. </w:t>
      </w:r>
    </w:p>
    <w:p w:rsidR="002C5D3C" w:rsidRPr="002C5D3C" w:rsidRDefault="002C5D3C" w:rsidP="002C5D3C">
      <w:pPr>
        <w:pStyle w:val="ListBullet"/>
      </w:pPr>
      <w:r w:rsidRPr="002C5D3C">
        <w:t xml:space="preserve">QIAs should cover safety, clinical outcomes and patient experience. </w:t>
      </w:r>
    </w:p>
    <w:p w:rsidR="002C5D3C" w:rsidRPr="002C5D3C" w:rsidRDefault="002C5D3C" w:rsidP="002C5D3C">
      <w:pPr>
        <w:pStyle w:val="ListBullet"/>
      </w:pPr>
      <w:r w:rsidRPr="002C5D3C">
        <w:t xml:space="preserve">Board Assurance is required that all CIP’s have been assessed for quality. </w:t>
      </w:r>
    </w:p>
    <w:p w:rsidR="002C5D3C" w:rsidRPr="002C5D3C" w:rsidRDefault="002C5D3C" w:rsidP="002C5D3C">
      <w:pPr>
        <w:pStyle w:val="ListBullet"/>
      </w:pPr>
      <w:r w:rsidRPr="002C5D3C">
        <w:t xml:space="preserve">Changes should be subject to an on-going assessment with regard to their impact on quality. </w:t>
      </w:r>
    </w:p>
    <w:p w:rsidR="002C5D3C" w:rsidRPr="002C5D3C" w:rsidRDefault="002C5D3C" w:rsidP="002C5D3C">
      <w:pPr>
        <w:pStyle w:val="BodyText"/>
      </w:pPr>
    </w:p>
    <w:p w:rsidR="002C5D3C" w:rsidRPr="002C5D3C" w:rsidRDefault="002C5D3C" w:rsidP="002C5D3C">
      <w:pPr>
        <w:pStyle w:val="BodyText"/>
      </w:pPr>
      <w:r w:rsidRPr="002C5D3C">
        <w:t xml:space="preserve">The QIA process introduces a risk scoring process for each CIP prior to sign off by the Chief Medical Officer and Chief Nurse. </w:t>
      </w:r>
    </w:p>
    <w:p w:rsidR="002C5D3C" w:rsidRPr="002C5D3C" w:rsidRDefault="002C5D3C" w:rsidP="002C5D3C">
      <w:pPr>
        <w:pStyle w:val="BodyText"/>
      </w:pPr>
      <w:r w:rsidRPr="002C5D3C">
        <w:t xml:space="preserve">QIA ensures a fuller assessment and audit mechanism and the “likelihood by impact” risk scoring aligns with the Trust’s other risk management processes. </w:t>
      </w:r>
    </w:p>
    <w:p w:rsidR="002F02AC" w:rsidRDefault="002C5D3C" w:rsidP="002C5D3C">
      <w:pPr>
        <w:pStyle w:val="BodyText"/>
      </w:pPr>
      <w:r w:rsidRPr="002C5D3C">
        <w:t>For changes which impact other criteria not listed in section 1.4 above please revert to the Risk Management Policy to carry out a full risk assessment.</w:t>
      </w:r>
    </w:p>
    <w:p w:rsidR="002C5D3C" w:rsidRDefault="002C5D3C" w:rsidP="002C5D3C">
      <w:pPr>
        <w:pStyle w:val="BodyText"/>
      </w:pPr>
    </w:p>
    <w:p w:rsidR="002C5D3C" w:rsidRDefault="002C5D3C" w:rsidP="002C5D3C">
      <w:pPr>
        <w:pStyle w:val="BodyText"/>
        <w:sectPr w:rsidR="002C5D3C" w:rsidSect="00E27AD6">
          <w:headerReference w:type="default" r:id="rId14"/>
          <w:pgSz w:w="11906" w:h="16838"/>
          <w:pgMar w:top="1440" w:right="1286" w:bottom="1440" w:left="1260" w:header="708" w:footer="708" w:gutter="0"/>
          <w:cols w:space="708"/>
          <w:docGrid w:linePitch="360"/>
        </w:sectPr>
      </w:pPr>
    </w:p>
    <w:p w:rsidR="002F02AC" w:rsidRPr="00E126A8" w:rsidRDefault="002F02AC" w:rsidP="002C5D3C">
      <w:pPr>
        <w:pStyle w:val="Heading1"/>
      </w:pPr>
      <w:r w:rsidRPr="00E126A8">
        <w:t>Policy Objectives</w:t>
      </w:r>
    </w:p>
    <w:p w:rsidR="002C5D3C" w:rsidRPr="002C5D3C" w:rsidRDefault="002C5D3C" w:rsidP="002C5D3C">
      <w:pPr>
        <w:pStyle w:val="ListBullet"/>
      </w:pPr>
      <w:r w:rsidRPr="002C5D3C">
        <w:t>All staff must understand the principle of QIA.</w:t>
      </w:r>
    </w:p>
    <w:p w:rsidR="002C5D3C" w:rsidRPr="002C5D3C" w:rsidRDefault="002C5D3C" w:rsidP="002C5D3C">
      <w:pPr>
        <w:pStyle w:val="ListBullet"/>
      </w:pPr>
      <w:r w:rsidRPr="002C5D3C">
        <w:t>Ensure there is a QIA for all CIPs and revenue buisness cases.</w:t>
      </w:r>
    </w:p>
    <w:p w:rsidR="002C5D3C" w:rsidRPr="002C5D3C" w:rsidRDefault="002C5D3C" w:rsidP="002C5D3C">
      <w:pPr>
        <w:pStyle w:val="ListBullet"/>
      </w:pPr>
      <w:r w:rsidRPr="002C5D3C">
        <w:t xml:space="preserve">Ensure that the QIA process is effective and dynamic  </w:t>
      </w:r>
    </w:p>
    <w:p w:rsidR="002C5D3C" w:rsidRPr="002C5D3C" w:rsidRDefault="002C5D3C" w:rsidP="002C5D3C">
      <w:pPr>
        <w:pStyle w:val="ListBullet"/>
      </w:pPr>
      <w:r w:rsidRPr="002C5D3C">
        <w:t xml:space="preserve">Ensure QIA are reviewed minimum quarterly </w:t>
      </w:r>
    </w:p>
    <w:p w:rsidR="002C5D3C" w:rsidRPr="002C5D3C" w:rsidRDefault="002C5D3C" w:rsidP="002C5D3C">
      <w:pPr>
        <w:pStyle w:val="ListBullet"/>
      </w:pPr>
      <w:r w:rsidRPr="002C5D3C">
        <w:t xml:space="preserve">All QIA's will be logged on the Trust wide CIP QIA Tracker </w:t>
      </w:r>
    </w:p>
    <w:p w:rsidR="002F02AC" w:rsidRDefault="002F02AC" w:rsidP="00AB0C27">
      <w:pPr>
        <w:pStyle w:val="BodyText"/>
      </w:pPr>
    </w:p>
    <w:p w:rsidR="002F02AC" w:rsidRPr="00D07679" w:rsidRDefault="002F02AC" w:rsidP="002C5D3C">
      <w:pPr>
        <w:pStyle w:val="Heading1ruled"/>
      </w:pPr>
      <w:r w:rsidRPr="00E126A8">
        <w:t>Duties</w:t>
      </w:r>
    </w:p>
    <w:p w:rsidR="002C5D3C" w:rsidRPr="002C5D3C" w:rsidRDefault="002C5D3C" w:rsidP="002C5D3C">
      <w:pPr>
        <w:pStyle w:val="BodyText"/>
      </w:pPr>
      <w:r w:rsidRPr="002C5D3C">
        <w:t xml:space="preserve">This section sets out the accountabilities for the QIA process and policy, and responsibility for implementing and managing the policy, and responsibilities for acting on findings. </w:t>
      </w:r>
    </w:p>
    <w:p w:rsidR="002C5D3C" w:rsidRPr="002C5D3C" w:rsidRDefault="002C5D3C" w:rsidP="002C5D3C">
      <w:pPr>
        <w:pStyle w:val="BodyText"/>
        <w:rPr>
          <w:rStyle w:val="Heading3Char"/>
        </w:rPr>
      </w:pPr>
      <w:r w:rsidRPr="002C5D3C">
        <w:rPr>
          <w:rStyle w:val="Heading3Char"/>
        </w:rPr>
        <w:t xml:space="preserve">Project Sponsor </w:t>
      </w:r>
    </w:p>
    <w:p w:rsidR="002C5D3C" w:rsidRPr="002C5D3C" w:rsidRDefault="002C5D3C" w:rsidP="002C5D3C">
      <w:pPr>
        <w:pStyle w:val="ListBullet"/>
      </w:pPr>
      <w:r w:rsidRPr="002C5D3C">
        <w:t xml:space="preserve">Proposer of the change  </w:t>
      </w:r>
    </w:p>
    <w:p w:rsidR="002C5D3C" w:rsidRPr="002C5D3C" w:rsidRDefault="002C5D3C" w:rsidP="002C5D3C">
      <w:pPr>
        <w:pStyle w:val="ListBullet"/>
      </w:pPr>
      <w:r w:rsidRPr="002C5D3C">
        <w:t xml:space="preserve">Ensure QIA is completed for proposed CIP </w:t>
      </w:r>
    </w:p>
    <w:p w:rsidR="002C5D3C" w:rsidRPr="002C5D3C" w:rsidRDefault="002C5D3C" w:rsidP="002C5D3C">
      <w:pPr>
        <w:pStyle w:val="ListBullet"/>
      </w:pPr>
      <w:r w:rsidRPr="002C5D3C">
        <w:t>Ensure QIAs are reviewed regularly and reported at PRMs</w:t>
      </w:r>
    </w:p>
    <w:p w:rsidR="002C5D3C" w:rsidRPr="002C5D3C" w:rsidRDefault="002C5D3C" w:rsidP="002C5D3C">
      <w:pPr>
        <w:pStyle w:val="ListBullet"/>
      </w:pPr>
      <w:r w:rsidRPr="002C5D3C">
        <w:t xml:space="preserve">Ensure action plans are created when required and their progress monitored </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Directorate Management Team (DMT) </w:t>
      </w:r>
    </w:p>
    <w:p w:rsidR="002C5D3C" w:rsidRPr="002C5D3C" w:rsidRDefault="002C5D3C" w:rsidP="002C5D3C">
      <w:pPr>
        <w:pStyle w:val="ListBullet"/>
      </w:pPr>
      <w:r w:rsidRPr="002C5D3C">
        <w:t>Ensure QIAs are completed for all directorate level CIPs</w:t>
      </w:r>
    </w:p>
    <w:p w:rsidR="002C5D3C" w:rsidRPr="002C5D3C" w:rsidRDefault="002C5D3C" w:rsidP="002C5D3C">
      <w:pPr>
        <w:pStyle w:val="ListBullet"/>
      </w:pPr>
      <w:r w:rsidRPr="002C5D3C">
        <w:t xml:space="preserve">Ensure all QIAs from services within the directorate are signed off </w:t>
      </w:r>
    </w:p>
    <w:p w:rsidR="002C5D3C" w:rsidRPr="002C5D3C" w:rsidRDefault="002C5D3C" w:rsidP="002C5D3C">
      <w:pPr>
        <w:pStyle w:val="ListBullet"/>
      </w:pPr>
      <w:r w:rsidRPr="002C5D3C">
        <w:t xml:space="preserve">Ensure all QIAs are reviewed monthly </w:t>
      </w:r>
    </w:p>
    <w:p w:rsidR="002C5D3C" w:rsidRPr="002C5D3C" w:rsidRDefault="002C5D3C" w:rsidP="002C5D3C">
      <w:pPr>
        <w:pStyle w:val="ListBullet"/>
      </w:pPr>
      <w:r w:rsidRPr="002C5D3C">
        <w:t xml:space="preserve">Ensure action plans are put in place where necessary and their progress monitored. </w:t>
      </w:r>
    </w:p>
    <w:p w:rsidR="002C5D3C" w:rsidRPr="002C5D3C" w:rsidRDefault="002C5D3C" w:rsidP="002C5D3C">
      <w:pPr>
        <w:pStyle w:val="ListBullet"/>
      </w:pPr>
      <w:r w:rsidRPr="002C5D3C">
        <w:t>Ensure QIAs are reported on at directorate PRMs</w:t>
      </w:r>
    </w:p>
    <w:p w:rsidR="002C5D3C" w:rsidRPr="002C5D3C" w:rsidRDefault="002C5D3C" w:rsidP="002C5D3C">
      <w:pPr>
        <w:pStyle w:val="ListBullet"/>
      </w:pPr>
      <w:r w:rsidRPr="002C5D3C">
        <w:t xml:space="preserve">Send all QIAs to DOO/SBU Lead for review and sign off </w:t>
      </w:r>
    </w:p>
    <w:p w:rsidR="002C5D3C" w:rsidRPr="002C5D3C" w:rsidRDefault="002C5D3C" w:rsidP="002C5D3C">
      <w:pPr>
        <w:pStyle w:val="ListBullet"/>
      </w:pPr>
      <w:r w:rsidRPr="002C5D3C">
        <w:t xml:space="preserve">Notify Directorate Finance Manager of any changes to the QIA Risk Score  </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Director of Operations (DOO) / SBU Lead  </w:t>
      </w:r>
    </w:p>
    <w:p w:rsidR="002C5D3C" w:rsidRPr="002C5D3C" w:rsidRDefault="002C5D3C" w:rsidP="002C5D3C">
      <w:pPr>
        <w:pStyle w:val="ListBullet"/>
      </w:pPr>
      <w:r w:rsidRPr="002C5D3C">
        <w:t xml:space="preserve">Review all QIAs  </w:t>
      </w:r>
    </w:p>
    <w:p w:rsidR="002C5D3C" w:rsidRPr="002C5D3C" w:rsidRDefault="002C5D3C" w:rsidP="002C5D3C">
      <w:pPr>
        <w:pStyle w:val="ListBullet"/>
      </w:pPr>
      <w:r w:rsidRPr="002C5D3C">
        <w:t xml:space="preserve">Request Project Sponsors and DMTs to make necessary changes </w:t>
      </w:r>
    </w:p>
    <w:p w:rsidR="002C5D3C" w:rsidRPr="002C5D3C" w:rsidRDefault="002C5D3C" w:rsidP="002C5D3C">
      <w:pPr>
        <w:pStyle w:val="ListBullet"/>
      </w:pPr>
      <w:r w:rsidRPr="002C5D3C">
        <w:t xml:space="preserve">Sign off QIAs following the checking process </w:t>
      </w:r>
    </w:p>
    <w:p w:rsidR="002C5D3C" w:rsidRPr="002C5D3C" w:rsidRDefault="002C5D3C" w:rsidP="002C5D3C">
      <w:pPr>
        <w:pStyle w:val="ListBullet"/>
      </w:pPr>
      <w:r w:rsidRPr="002C5D3C">
        <w:t xml:space="preserve">Send all QIAs to Planning and Performance for review and sign off by CNO/CMO </w:t>
      </w:r>
    </w:p>
    <w:p w:rsidR="002C5D3C" w:rsidRPr="002C5D3C" w:rsidRDefault="002C5D3C" w:rsidP="002C5D3C">
      <w:pPr>
        <w:pStyle w:val="ListBullet"/>
      </w:pPr>
      <w:r w:rsidRPr="002C5D3C">
        <w:t>Bring QIAs to Q&amp;P quarterly for review</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Executive Director (ED) </w:t>
      </w:r>
    </w:p>
    <w:p w:rsidR="002C5D3C" w:rsidRPr="002C5D3C" w:rsidRDefault="002C5D3C" w:rsidP="002C5D3C">
      <w:pPr>
        <w:pStyle w:val="ListBullet"/>
      </w:pPr>
      <w:r w:rsidRPr="002C5D3C">
        <w:t>Ensure QIA is completed for all proposed CIP changes within corporate directorates.</w:t>
      </w:r>
    </w:p>
    <w:p w:rsidR="002C5D3C" w:rsidRPr="002C5D3C" w:rsidRDefault="002C5D3C" w:rsidP="002C5D3C">
      <w:pPr>
        <w:pStyle w:val="ListBullet"/>
      </w:pPr>
      <w:r w:rsidRPr="002C5D3C">
        <w:t xml:space="preserve">Ensure all QIAs from respective corporate directorates are reviewed and signed off by the CND and CMO. </w:t>
      </w:r>
    </w:p>
    <w:p w:rsidR="002C5D3C" w:rsidRPr="002C5D3C" w:rsidRDefault="002C5D3C" w:rsidP="002C5D3C">
      <w:pPr>
        <w:pStyle w:val="ListBullet"/>
      </w:pPr>
      <w:r w:rsidRPr="002C5D3C">
        <w:t xml:space="preserve">Ensure action plans are put in place where necessary and their progress monitored. </w:t>
      </w:r>
    </w:p>
    <w:p w:rsidR="002C5D3C" w:rsidRPr="002C5D3C" w:rsidRDefault="002C5D3C" w:rsidP="002C5D3C">
      <w:pPr>
        <w:pStyle w:val="ListBullet"/>
      </w:pPr>
      <w:r w:rsidRPr="002C5D3C">
        <w:t>Ensure QIAs are reported at strategic Finance Committee</w:t>
      </w:r>
    </w:p>
    <w:p w:rsidR="002C5D3C" w:rsidRPr="002C5D3C" w:rsidRDefault="002C5D3C" w:rsidP="002C5D3C">
      <w:pPr>
        <w:pStyle w:val="ListBullet"/>
      </w:pPr>
      <w:r w:rsidRPr="002C5D3C">
        <w:t>Review quarterly or more frequently if significant changes are made</w:t>
      </w:r>
    </w:p>
    <w:p w:rsidR="002C5D3C" w:rsidRPr="002C5D3C" w:rsidRDefault="002C5D3C" w:rsidP="002C5D3C">
      <w:pPr>
        <w:pStyle w:val="ListBullet"/>
      </w:pPr>
      <w:r w:rsidRPr="002C5D3C">
        <w:t>Notify relevant Finance Manager of any changes to the QIA Risk Score</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Chief Nursing Officer (CNO) and Chief Medical Officer (CMO) </w:t>
      </w:r>
    </w:p>
    <w:p w:rsidR="002C5D3C" w:rsidRPr="002C5D3C" w:rsidRDefault="002C5D3C" w:rsidP="002C5D3C">
      <w:pPr>
        <w:pStyle w:val="ListBullet"/>
      </w:pPr>
      <w:r w:rsidRPr="002C5D3C">
        <w:t xml:space="preserve">Review all QIAs signed off by the DOO/SBU Lead </w:t>
      </w:r>
    </w:p>
    <w:p w:rsidR="002C5D3C" w:rsidRPr="002C5D3C" w:rsidRDefault="002C5D3C" w:rsidP="002C5D3C">
      <w:pPr>
        <w:pStyle w:val="ListBullet"/>
      </w:pPr>
      <w:r w:rsidRPr="002C5D3C">
        <w:t xml:space="preserve">Request for DMTs and DOO/SBU Leads to make changes where necessary </w:t>
      </w:r>
    </w:p>
    <w:p w:rsidR="002C5D3C" w:rsidRPr="002C5D3C" w:rsidRDefault="002C5D3C" w:rsidP="002C5D3C">
      <w:pPr>
        <w:pStyle w:val="ListBullet"/>
      </w:pPr>
      <w:r w:rsidRPr="002C5D3C">
        <w:t xml:space="preserve">Sign off QIAs and decide which may need further Board review. </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Non-Executive Director (NED) </w:t>
      </w:r>
    </w:p>
    <w:p w:rsidR="002C5D3C" w:rsidRPr="002C5D3C" w:rsidRDefault="002C5D3C" w:rsidP="002C5D3C">
      <w:pPr>
        <w:pStyle w:val="ListBullet"/>
      </w:pPr>
      <w:r w:rsidRPr="002C5D3C">
        <w:t xml:space="preserve">Review all high risk QIAs signed off by CNO and CMO  </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Quality and Performance Committee </w:t>
      </w:r>
    </w:p>
    <w:p w:rsidR="002C5D3C" w:rsidRPr="002C5D3C" w:rsidRDefault="002C5D3C" w:rsidP="002C5D3C">
      <w:pPr>
        <w:pStyle w:val="ListBullet"/>
      </w:pPr>
      <w:r w:rsidRPr="002C5D3C">
        <w:t xml:space="preserve">Request assurance on QIA’s where necessary </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Directorate Finance Manager </w:t>
      </w:r>
    </w:p>
    <w:p w:rsidR="002C5D3C" w:rsidRPr="002C5D3C" w:rsidRDefault="002C5D3C" w:rsidP="002C5D3C">
      <w:pPr>
        <w:pStyle w:val="ListBullet"/>
      </w:pPr>
      <w:r w:rsidRPr="002C5D3C">
        <w:t xml:space="preserve">Confirm sign off by CNO and CMO of QIAs relating to CIPs  </w:t>
      </w:r>
    </w:p>
    <w:p w:rsidR="002C5D3C" w:rsidRPr="002C5D3C" w:rsidRDefault="002C5D3C" w:rsidP="002C5D3C">
      <w:pPr>
        <w:pStyle w:val="ListBullet"/>
      </w:pPr>
      <w:r w:rsidRPr="002C5D3C">
        <w:t xml:space="preserve">Update CIP Tracker monthly </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Head of Financial Management  </w:t>
      </w:r>
    </w:p>
    <w:p w:rsidR="002C5D3C" w:rsidRPr="002C5D3C" w:rsidRDefault="002C5D3C" w:rsidP="002C5D3C">
      <w:pPr>
        <w:pStyle w:val="ListBullet"/>
      </w:pPr>
      <w:r w:rsidRPr="002C5D3C">
        <w:t xml:space="preserve">Review CIP Tracker to confirm QIA completed for all CIPs </w:t>
      </w:r>
    </w:p>
    <w:p w:rsidR="002C5D3C" w:rsidRPr="002C5D3C" w:rsidRDefault="002C5D3C" w:rsidP="002C5D3C"/>
    <w:p w:rsidR="002C5D3C" w:rsidRPr="002C5D3C" w:rsidRDefault="002C5D3C" w:rsidP="002C5D3C">
      <w:pPr>
        <w:pStyle w:val="BodyText"/>
        <w:rPr>
          <w:rStyle w:val="Heading3Char"/>
        </w:rPr>
      </w:pPr>
      <w:r w:rsidRPr="002C5D3C">
        <w:rPr>
          <w:rStyle w:val="Heading3Char"/>
        </w:rPr>
        <w:t xml:space="preserve">Performance and Planning </w:t>
      </w:r>
    </w:p>
    <w:p w:rsidR="002C5D3C" w:rsidRPr="002C5D3C" w:rsidRDefault="002C5D3C" w:rsidP="002C5D3C">
      <w:pPr>
        <w:pStyle w:val="ListBullet"/>
      </w:pPr>
      <w:r w:rsidRPr="002C5D3C">
        <w:t xml:space="preserve">Collate and manage the process of submission, review and sign off </w:t>
      </w:r>
    </w:p>
    <w:p w:rsidR="002C5D3C" w:rsidRPr="002C5D3C" w:rsidRDefault="002C5D3C" w:rsidP="002C5D3C">
      <w:pPr>
        <w:pStyle w:val="ListBullet"/>
      </w:pPr>
      <w:r w:rsidRPr="002C5D3C">
        <w:t xml:space="preserve">Manage the CIP tracker </w:t>
      </w:r>
    </w:p>
    <w:p w:rsidR="00EF4A78" w:rsidRPr="00E126A8" w:rsidRDefault="002C5D3C" w:rsidP="002C5D3C">
      <w:pPr>
        <w:pStyle w:val="ListBullet"/>
      </w:pPr>
      <w:r w:rsidRPr="002C5D3C">
        <w:t>Reconciliation of CIP tracker</w:t>
      </w:r>
    </w:p>
    <w:p w:rsidR="002F02AC" w:rsidRPr="00E126A8" w:rsidRDefault="002F02AC" w:rsidP="008D3222">
      <w:pPr>
        <w:pStyle w:val="Heading1ruled"/>
      </w:pPr>
      <w:r w:rsidRPr="00E126A8">
        <w:t>Policy Delivery and Implementation</w:t>
      </w:r>
    </w:p>
    <w:p w:rsidR="002A65FA" w:rsidRPr="002A65FA" w:rsidRDefault="002A65FA" w:rsidP="002A65FA">
      <w:pPr>
        <w:pStyle w:val="BodyText"/>
      </w:pPr>
      <w:r w:rsidRPr="002A65FA">
        <w:t xml:space="preserve">A template QIA form is provided for staff to use to carry out a complete QIA and ensure standardisation of practice across the Trust. </w:t>
      </w:r>
    </w:p>
    <w:p w:rsidR="002A65FA" w:rsidRPr="002A65FA" w:rsidRDefault="002A65FA" w:rsidP="002A65FA">
      <w:pPr>
        <w:pStyle w:val="Heading2"/>
      </w:pPr>
      <w:r w:rsidRPr="002A65FA">
        <w:t xml:space="preserve">QIA Process: </w:t>
      </w:r>
    </w:p>
    <w:p w:rsidR="002A65FA" w:rsidRPr="002A65FA" w:rsidRDefault="002A65FA" w:rsidP="002A65FA">
      <w:pPr>
        <w:pStyle w:val="ListBullet"/>
      </w:pPr>
      <w:r w:rsidRPr="002A65FA">
        <w:t xml:space="preserve">Complete the QIA Form shown in Appendix A </w:t>
      </w:r>
    </w:p>
    <w:p w:rsidR="002A65FA" w:rsidRPr="002A65FA" w:rsidRDefault="002A65FA" w:rsidP="002A65FA">
      <w:pPr>
        <w:pStyle w:val="ListBullet"/>
      </w:pPr>
      <w:r w:rsidRPr="002A65FA">
        <w:t>A guide to the risk rating and likelihood scores is shown in Appendix B and Appendix C</w:t>
      </w:r>
    </w:p>
    <w:p w:rsidR="005302CC" w:rsidRDefault="002A65FA" w:rsidP="002A65FA">
      <w:pPr>
        <w:pStyle w:val="ListBullet"/>
      </w:pPr>
      <w:r w:rsidRPr="002A65FA">
        <w:t>Process flow chart is shown in Appendix D</w:t>
      </w:r>
    </w:p>
    <w:p w:rsidR="00EF4A78" w:rsidRDefault="00EF4A78" w:rsidP="00ED47FE">
      <w:pPr>
        <w:pStyle w:val="BodyText"/>
      </w:pPr>
    </w:p>
    <w:p w:rsidR="002E68FD" w:rsidRDefault="002E68FD" w:rsidP="00ED47FE">
      <w:pPr>
        <w:pStyle w:val="BodyText"/>
      </w:pPr>
    </w:p>
    <w:p w:rsidR="00EF4A78" w:rsidRPr="003B4529" w:rsidRDefault="00EF4A78" w:rsidP="00ED47FE">
      <w:pPr>
        <w:pStyle w:val="BodyText"/>
        <w:sectPr w:rsidR="00EF4A78" w:rsidRPr="003B4529" w:rsidSect="00E27AD6">
          <w:pgSz w:w="11906" w:h="16838"/>
          <w:pgMar w:top="1440" w:right="1286" w:bottom="1440" w:left="1260" w:header="708" w:footer="708" w:gutter="0"/>
          <w:cols w:space="708"/>
          <w:docGrid w:linePitch="360"/>
        </w:sectPr>
      </w:pPr>
    </w:p>
    <w:p w:rsidR="002F02AC" w:rsidRPr="00DA6CC0" w:rsidRDefault="002F02AC" w:rsidP="00ED47FE">
      <w:pPr>
        <w:pStyle w:val="Heading1"/>
      </w:pPr>
      <w:r>
        <w:t>Monitoring and Assurance</w:t>
      </w:r>
    </w:p>
    <w:p w:rsidR="002F02AC" w:rsidRPr="00E126A8" w:rsidRDefault="002F02AC" w:rsidP="00ED47FE">
      <w:pPr>
        <w:pStyle w:val="BodyText"/>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3858"/>
        <w:gridCol w:w="3168"/>
      </w:tblGrid>
      <w:tr w:rsidR="002F02AC" w:rsidRPr="00661876" w:rsidTr="002A65FA">
        <w:trPr>
          <w:cantSplit/>
          <w:tblHeader/>
        </w:trPr>
        <w:tc>
          <w:tcPr>
            <w:tcW w:w="2550" w:type="dxa"/>
            <w:shd w:val="clear" w:color="auto" w:fill="auto"/>
          </w:tcPr>
          <w:p w:rsidR="002F02AC" w:rsidRPr="009B56A8" w:rsidRDefault="002F02AC" w:rsidP="00555565">
            <w:pPr>
              <w:pStyle w:val="Tablesubhead"/>
            </w:pPr>
            <w:r w:rsidRPr="00661876">
              <w:t>Policy Objectives</w:t>
            </w:r>
          </w:p>
        </w:tc>
        <w:tc>
          <w:tcPr>
            <w:tcW w:w="3858" w:type="dxa"/>
            <w:shd w:val="clear" w:color="auto" w:fill="auto"/>
          </w:tcPr>
          <w:p w:rsidR="002F02AC" w:rsidRPr="009B56A8" w:rsidRDefault="002F02AC" w:rsidP="00555565">
            <w:pPr>
              <w:pStyle w:val="Tablesubhead"/>
            </w:pPr>
            <w:r w:rsidRPr="00661876">
              <w:t>Monitoring methods</w:t>
            </w:r>
          </w:p>
        </w:tc>
        <w:tc>
          <w:tcPr>
            <w:tcW w:w="3168" w:type="dxa"/>
            <w:tcBorders>
              <w:bottom w:val="single" w:sz="4" w:space="0" w:color="auto"/>
            </w:tcBorders>
            <w:shd w:val="clear" w:color="auto" w:fill="auto"/>
            <w:noWrap/>
          </w:tcPr>
          <w:p w:rsidR="002F02AC" w:rsidRPr="009B56A8" w:rsidRDefault="002F02AC" w:rsidP="00555565">
            <w:pPr>
              <w:pStyle w:val="Tablesubhead"/>
            </w:pPr>
            <w:r w:rsidRPr="00661876">
              <w:t>Assurance</w:t>
            </w:r>
          </w:p>
        </w:tc>
      </w:tr>
      <w:tr w:rsidR="002A65FA" w:rsidTr="002A65FA">
        <w:trPr>
          <w:cantSplit/>
          <w:tblHeader/>
        </w:trPr>
        <w:tc>
          <w:tcPr>
            <w:tcW w:w="2550" w:type="dxa"/>
            <w:tcBorders>
              <w:top w:val="single" w:sz="4" w:space="0" w:color="auto"/>
              <w:left w:val="single" w:sz="4" w:space="0" w:color="auto"/>
              <w:bottom w:val="single" w:sz="4" w:space="0" w:color="auto"/>
              <w:right w:val="single" w:sz="4" w:space="0" w:color="auto"/>
            </w:tcBorders>
            <w:shd w:val="clear" w:color="auto" w:fill="auto"/>
          </w:tcPr>
          <w:p w:rsidR="002A65FA" w:rsidRPr="002A65FA" w:rsidRDefault="002A65FA" w:rsidP="002A65FA">
            <w:pPr>
              <w:pStyle w:val="Tabletext"/>
            </w:pPr>
            <w:r w:rsidRPr="002A65FA">
              <w:t>CIPs</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A65FA" w:rsidRPr="002A65FA" w:rsidRDefault="002A65FA" w:rsidP="002A65FA">
            <w:pPr>
              <w:pStyle w:val="Tabletext"/>
            </w:pPr>
            <w:r w:rsidRPr="002A65FA">
              <w:t xml:space="preserve">COO team monitor at directorate </w:t>
            </w:r>
          </w:p>
          <w:p w:rsidR="002A65FA" w:rsidRPr="002A65FA" w:rsidRDefault="002A65FA" w:rsidP="002A65FA">
            <w:pPr>
              <w:pStyle w:val="Tabletext"/>
            </w:pPr>
            <w:r w:rsidRPr="002A65FA">
              <w:t xml:space="preserve">PRMs </w:t>
            </w:r>
          </w:p>
          <w:p w:rsidR="002A65FA" w:rsidRPr="002A65FA" w:rsidRDefault="002A65FA" w:rsidP="002A65FA">
            <w:pPr>
              <w:pStyle w:val="Tabletext"/>
            </w:pPr>
            <w:r w:rsidRPr="002A65FA">
              <w:t>CIP tracker will record associated QIAs and Strategic Finance Committee</w:t>
            </w:r>
          </w:p>
        </w:tc>
        <w:tc>
          <w:tcPr>
            <w:tcW w:w="3168" w:type="dxa"/>
            <w:tcBorders>
              <w:top w:val="single" w:sz="4" w:space="0" w:color="auto"/>
              <w:left w:val="single" w:sz="4" w:space="0" w:color="auto"/>
              <w:bottom w:val="single" w:sz="4" w:space="0" w:color="auto"/>
              <w:right w:val="single" w:sz="4" w:space="0" w:color="auto"/>
            </w:tcBorders>
            <w:shd w:val="clear" w:color="auto" w:fill="auto"/>
            <w:noWrap/>
          </w:tcPr>
          <w:p w:rsidR="002A65FA" w:rsidRPr="002A65FA" w:rsidRDefault="002A65FA" w:rsidP="002A65FA">
            <w:pPr>
              <w:pStyle w:val="Tabletext"/>
            </w:pPr>
            <w:r w:rsidRPr="002A65FA">
              <w:t xml:space="preserve">Reconciliation of CIP tracker with submitted QIAs </w:t>
            </w:r>
          </w:p>
        </w:tc>
      </w:tr>
      <w:tr w:rsidR="002A65FA" w:rsidTr="002A65FA">
        <w:trPr>
          <w:cantSplit/>
          <w:tblHeader/>
        </w:trPr>
        <w:tc>
          <w:tcPr>
            <w:tcW w:w="2550" w:type="dxa"/>
            <w:tcBorders>
              <w:top w:val="single" w:sz="4" w:space="0" w:color="auto"/>
              <w:left w:val="single" w:sz="4" w:space="0" w:color="auto"/>
              <w:bottom w:val="single" w:sz="4" w:space="0" w:color="auto"/>
              <w:right w:val="single" w:sz="4" w:space="0" w:color="auto"/>
            </w:tcBorders>
            <w:shd w:val="clear" w:color="auto" w:fill="auto"/>
          </w:tcPr>
          <w:p w:rsidR="002A65FA" w:rsidRPr="002A65FA" w:rsidRDefault="002A65FA" w:rsidP="002A65FA">
            <w:pPr>
              <w:pStyle w:val="Tabletext"/>
            </w:pPr>
            <w:r w:rsidRPr="002A65FA">
              <w:t xml:space="preserve">Ensure that QIAs are effective and are reviewed minimum quarterly or more frequently if issues are identified or there are changes to plan. </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A65FA" w:rsidRPr="002A65FA" w:rsidRDefault="002A65FA" w:rsidP="002A65FA">
            <w:pPr>
              <w:pStyle w:val="Tabletext"/>
            </w:pPr>
            <w:r w:rsidRPr="002A65FA">
              <w:t xml:space="preserve">COO team monitor through directorate PRMs. </w:t>
            </w:r>
          </w:p>
          <w:p w:rsidR="002A65FA" w:rsidRPr="002A65FA" w:rsidRDefault="002A65FA" w:rsidP="002A65FA">
            <w:pPr>
              <w:pStyle w:val="Tabletext"/>
            </w:pPr>
            <w:r w:rsidRPr="002A65FA">
              <w:t xml:space="preserve">DMTs to monitor through monthly service PRMs </w:t>
            </w:r>
          </w:p>
          <w:p w:rsidR="002A65FA" w:rsidRPr="002A65FA" w:rsidRDefault="002A65FA" w:rsidP="002A65FA">
            <w:pPr>
              <w:pStyle w:val="Tabletext"/>
            </w:pPr>
            <w:r w:rsidRPr="002A65FA">
              <w:t xml:space="preserve">Corporate Directorates to monitor via the relevant Executive Director. </w:t>
            </w:r>
          </w:p>
        </w:tc>
        <w:tc>
          <w:tcPr>
            <w:tcW w:w="3168" w:type="dxa"/>
            <w:tcBorders>
              <w:top w:val="single" w:sz="4" w:space="0" w:color="auto"/>
              <w:left w:val="single" w:sz="4" w:space="0" w:color="auto"/>
              <w:bottom w:val="single" w:sz="4" w:space="0" w:color="auto"/>
              <w:right w:val="single" w:sz="4" w:space="0" w:color="auto"/>
            </w:tcBorders>
            <w:shd w:val="clear" w:color="auto" w:fill="auto"/>
            <w:noWrap/>
          </w:tcPr>
          <w:p w:rsidR="002A65FA" w:rsidRPr="002A65FA" w:rsidRDefault="002A65FA" w:rsidP="002A65FA">
            <w:pPr>
              <w:pStyle w:val="Tabletext"/>
            </w:pPr>
            <w:r w:rsidRPr="002A65FA">
              <w:t xml:space="preserve">COO team report high risk QIAs to Q&amp;P quarterly for review as appropriate. </w:t>
            </w:r>
          </w:p>
          <w:p w:rsidR="002A65FA" w:rsidRPr="002A65FA" w:rsidRDefault="002A65FA" w:rsidP="002A65FA">
            <w:pPr>
              <w:pStyle w:val="Tabletext"/>
            </w:pPr>
            <w:r w:rsidRPr="002A65FA">
              <w:t xml:space="preserve">Audit of random subset of </w:t>
            </w:r>
          </w:p>
          <w:p w:rsidR="002A65FA" w:rsidRPr="002A65FA" w:rsidRDefault="002A65FA" w:rsidP="002A65FA">
            <w:pPr>
              <w:pStyle w:val="Tabletext"/>
            </w:pPr>
            <w:r w:rsidRPr="002A65FA">
              <w:t xml:space="preserve">QIAs </w:t>
            </w:r>
          </w:p>
        </w:tc>
      </w:tr>
    </w:tbl>
    <w:p w:rsidR="002F02AC" w:rsidRPr="00E126A8" w:rsidRDefault="002F02AC" w:rsidP="00ED47FE">
      <w:pPr>
        <w:pStyle w:val="BodyText"/>
      </w:pPr>
    </w:p>
    <w:p w:rsidR="002F02AC" w:rsidRPr="0000104A" w:rsidRDefault="00264193" w:rsidP="00ED47FE">
      <w:pPr>
        <w:pStyle w:val="Heading1"/>
      </w:pPr>
      <w:r>
        <w:t xml:space="preserve">Document History and </w:t>
      </w:r>
      <w:r w:rsidR="002F02AC">
        <w:t>References</w:t>
      </w:r>
    </w:p>
    <w:p w:rsidR="002F02AC" w:rsidRDefault="002F02AC" w:rsidP="00ED47FE">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6502"/>
        <w:gridCol w:w="1617"/>
      </w:tblGrid>
      <w:tr w:rsidR="00264193" w:rsidTr="006726EC">
        <w:trPr>
          <w:jc w:val="center"/>
        </w:trPr>
        <w:tc>
          <w:tcPr>
            <w:tcW w:w="5000" w:type="pct"/>
            <w:gridSpan w:val="3"/>
            <w:shd w:val="clear" w:color="auto" w:fill="auto"/>
            <w:tcMar>
              <w:left w:w="0" w:type="dxa"/>
              <w:right w:w="0" w:type="dxa"/>
            </w:tcMar>
            <w:vAlign w:val="center"/>
          </w:tcPr>
          <w:p w:rsidR="00264193" w:rsidRPr="0083027B" w:rsidRDefault="00264193" w:rsidP="00264193">
            <w:pPr>
              <w:pStyle w:val="Tableheader"/>
            </w:pPr>
            <w:r w:rsidRPr="0083027B">
              <w:t>Document History</w:t>
            </w:r>
          </w:p>
        </w:tc>
      </w:tr>
      <w:tr w:rsidR="00264193" w:rsidTr="006726EC">
        <w:trPr>
          <w:jc w:val="center"/>
        </w:trPr>
        <w:tc>
          <w:tcPr>
            <w:tcW w:w="636" w:type="pct"/>
          </w:tcPr>
          <w:p w:rsidR="00264193" w:rsidRPr="00264193" w:rsidRDefault="00264193" w:rsidP="00264193">
            <w:pPr>
              <w:pStyle w:val="Tablesubhead"/>
            </w:pPr>
            <w:r>
              <w:t>Date</w:t>
            </w:r>
          </w:p>
        </w:tc>
        <w:tc>
          <w:tcPr>
            <w:tcW w:w="3488" w:type="pct"/>
          </w:tcPr>
          <w:p w:rsidR="00264193" w:rsidRPr="00264193" w:rsidRDefault="00264193" w:rsidP="00264193">
            <w:pPr>
              <w:pStyle w:val="Tablesubhead"/>
            </w:pPr>
            <w:r>
              <w:t>Comments</w:t>
            </w:r>
          </w:p>
        </w:tc>
        <w:tc>
          <w:tcPr>
            <w:tcW w:w="876" w:type="pct"/>
          </w:tcPr>
          <w:p w:rsidR="00264193" w:rsidRPr="00264193" w:rsidRDefault="00264193" w:rsidP="00264193">
            <w:pPr>
              <w:pStyle w:val="Tablesubhead"/>
            </w:pPr>
            <w:r>
              <w:t>Approved by</w:t>
            </w:r>
          </w:p>
        </w:tc>
      </w:tr>
      <w:tr w:rsidR="002A65FA" w:rsidTr="006726EC">
        <w:trPr>
          <w:jc w:val="center"/>
        </w:trPr>
        <w:tc>
          <w:tcPr>
            <w:tcW w:w="636" w:type="pct"/>
          </w:tcPr>
          <w:p w:rsidR="002A65FA" w:rsidRDefault="002A65FA" w:rsidP="002A65FA">
            <w:r>
              <w:t>Jun 2018</w:t>
            </w:r>
          </w:p>
        </w:tc>
        <w:tc>
          <w:tcPr>
            <w:tcW w:w="3488" w:type="pct"/>
          </w:tcPr>
          <w:p w:rsidR="002A65FA" w:rsidRDefault="002A65FA" w:rsidP="002A65FA">
            <w:r>
              <w:t>Policy created</w:t>
            </w:r>
          </w:p>
        </w:tc>
        <w:tc>
          <w:tcPr>
            <w:tcW w:w="876" w:type="pct"/>
          </w:tcPr>
          <w:p w:rsidR="002A65FA" w:rsidRPr="002A65FA" w:rsidRDefault="002A65FA" w:rsidP="002A65FA"/>
        </w:tc>
      </w:tr>
      <w:tr w:rsidR="002A65FA" w:rsidTr="006726EC">
        <w:trPr>
          <w:jc w:val="center"/>
        </w:trPr>
        <w:tc>
          <w:tcPr>
            <w:tcW w:w="636" w:type="pct"/>
          </w:tcPr>
          <w:p w:rsidR="002A65FA" w:rsidRDefault="002A65FA" w:rsidP="002A65FA">
            <w:r>
              <w:t>Oct 2018</w:t>
            </w:r>
          </w:p>
        </w:tc>
        <w:tc>
          <w:tcPr>
            <w:tcW w:w="3488" w:type="pct"/>
          </w:tcPr>
          <w:p w:rsidR="002A65FA" w:rsidRDefault="002A65FA" w:rsidP="002A65FA">
            <w:r>
              <w:t>Amendments following consultation with stakeholders</w:t>
            </w:r>
          </w:p>
        </w:tc>
        <w:tc>
          <w:tcPr>
            <w:tcW w:w="876" w:type="pct"/>
          </w:tcPr>
          <w:p w:rsidR="002A65FA" w:rsidRPr="002A65FA" w:rsidRDefault="002A65FA" w:rsidP="002A65FA">
            <w:r w:rsidRPr="002A65FA">
              <w:t>TME</w:t>
            </w:r>
          </w:p>
        </w:tc>
      </w:tr>
      <w:tr w:rsidR="002A65FA" w:rsidTr="006726EC">
        <w:trPr>
          <w:jc w:val="center"/>
        </w:trPr>
        <w:tc>
          <w:tcPr>
            <w:tcW w:w="636" w:type="pct"/>
          </w:tcPr>
          <w:p w:rsidR="002A65FA" w:rsidRDefault="002A65FA" w:rsidP="002A65FA">
            <w:r>
              <w:t>November 2018</w:t>
            </w:r>
          </w:p>
        </w:tc>
        <w:tc>
          <w:tcPr>
            <w:tcW w:w="3488" w:type="pct"/>
          </w:tcPr>
          <w:p w:rsidR="002A65FA" w:rsidRDefault="002A65FA" w:rsidP="002A65FA">
            <w:r>
              <w:t>Ammendments following presentation at TME</w:t>
            </w:r>
          </w:p>
        </w:tc>
        <w:tc>
          <w:tcPr>
            <w:tcW w:w="876" w:type="pct"/>
          </w:tcPr>
          <w:p w:rsidR="002A65FA" w:rsidRPr="002A65FA" w:rsidRDefault="002A65FA" w:rsidP="002A65FA"/>
        </w:tc>
      </w:tr>
    </w:tbl>
    <w:p w:rsidR="00264193" w:rsidRDefault="00264193" w:rsidP="00ED47FE">
      <w:pPr>
        <w:pStyle w:val="BodyText"/>
      </w:pPr>
    </w:p>
    <w:p w:rsidR="00264193" w:rsidRDefault="00264193" w:rsidP="00ED47F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1988"/>
        <w:gridCol w:w="1051"/>
        <w:gridCol w:w="3525"/>
      </w:tblGrid>
      <w:tr w:rsidR="002F02AC" w:rsidRPr="00661876" w:rsidTr="00145132">
        <w:tc>
          <w:tcPr>
            <w:tcW w:w="0" w:type="auto"/>
          </w:tcPr>
          <w:p w:rsidR="002F02AC" w:rsidRPr="009B56A8" w:rsidRDefault="002F02AC" w:rsidP="00555565">
            <w:pPr>
              <w:pStyle w:val="Tablesubhead"/>
            </w:pPr>
            <w:r w:rsidRPr="00661876">
              <w:t>Document title</w:t>
            </w:r>
          </w:p>
        </w:tc>
        <w:tc>
          <w:tcPr>
            <w:tcW w:w="0" w:type="auto"/>
          </w:tcPr>
          <w:p w:rsidR="002F02AC" w:rsidRPr="009B56A8" w:rsidRDefault="002F02AC" w:rsidP="00555565">
            <w:pPr>
              <w:pStyle w:val="Tablesubhead"/>
            </w:pPr>
            <w:r w:rsidRPr="00661876">
              <w:t>Publisher</w:t>
            </w:r>
          </w:p>
        </w:tc>
        <w:tc>
          <w:tcPr>
            <w:tcW w:w="0" w:type="auto"/>
          </w:tcPr>
          <w:p w:rsidR="002F02AC" w:rsidRPr="009B56A8" w:rsidRDefault="002F02AC" w:rsidP="00555565">
            <w:pPr>
              <w:pStyle w:val="Tablesubhead"/>
            </w:pPr>
            <w:r w:rsidRPr="00661876">
              <w:t>Date</w:t>
            </w:r>
          </w:p>
        </w:tc>
        <w:tc>
          <w:tcPr>
            <w:tcW w:w="0" w:type="auto"/>
          </w:tcPr>
          <w:p w:rsidR="002F02AC" w:rsidRPr="009B56A8" w:rsidRDefault="002F02AC" w:rsidP="00555565">
            <w:pPr>
              <w:pStyle w:val="Tablesubhead"/>
            </w:pPr>
            <w:r w:rsidRPr="00661876">
              <w:t>Comments</w:t>
            </w:r>
          </w:p>
        </w:tc>
      </w:tr>
      <w:tr w:rsidR="002A65FA" w:rsidTr="00FF53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A65FA" w:rsidRDefault="002A65FA" w:rsidP="002A65FA">
            <w:r>
              <w:t xml:space="preserve">How to: Quality Impact Assess </w:t>
            </w:r>
          </w:p>
          <w:p w:rsidR="002A65FA" w:rsidRDefault="002A65FA" w:rsidP="002A65FA">
            <w:r>
              <w:t xml:space="preserve">Provider Cost Improvement Plans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A65FA" w:rsidRDefault="002A65FA" w:rsidP="002A65FA">
            <w:r>
              <w:t xml:space="preserve">National Quality Board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A65FA" w:rsidRDefault="002A65FA" w:rsidP="002A65FA">
            <w:r>
              <w:t xml:space="preserve">June 2012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A65FA" w:rsidRDefault="002A65FA" w:rsidP="002A65FA">
            <w:r>
              <w:t xml:space="preserve">relevant section numbers, or titles if necessary </w:t>
            </w:r>
          </w:p>
        </w:tc>
      </w:tr>
      <w:tr w:rsidR="002F02AC" w:rsidTr="00145132">
        <w:tc>
          <w:tcPr>
            <w:tcW w:w="0" w:type="auto"/>
          </w:tcPr>
          <w:p w:rsidR="002F02AC" w:rsidRPr="00E126A8" w:rsidRDefault="002F02AC" w:rsidP="00555565">
            <w:pPr>
              <w:pStyle w:val="Tabletext"/>
            </w:pPr>
          </w:p>
        </w:tc>
        <w:tc>
          <w:tcPr>
            <w:tcW w:w="0" w:type="auto"/>
          </w:tcPr>
          <w:p w:rsidR="002F02AC" w:rsidRPr="00E126A8" w:rsidRDefault="002F02AC" w:rsidP="00555565">
            <w:pPr>
              <w:pStyle w:val="Tabletext"/>
            </w:pPr>
          </w:p>
        </w:tc>
        <w:tc>
          <w:tcPr>
            <w:tcW w:w="0" w:type="auto"/>
          </w:tcPr>
          <w:p w:rsidR="002F02AC" w:rsidRPr="00E126A8" w:rsidRDefault="002F02AC" w:rsidP="00555565">
            <w:pPr>
              <w:pStyle w:val="Tabletext"/>
            </w:pPr>
          </w:p>
        </w:tc>
        <w:tc>
          <w:tcPr>
            <w:tcW w:w="0" w:type="auto"/>
          </w:tcPr>
          <w:p w:rsidR="002F02AC" w:rsidRPr="00E126A8" w:rsidRDefault="002F02AC" w:rsidP="00555565">
            <w:pPr>
              <w:pStyle w:val="Tabletext"/>
            </w:pPr>
          </w:p>
        </w:tc>
      </w:tr>
    </w:tbl>
    <w:p w:rsidR="002F02AC" w:rsidRPr="00DA6CC0" w:rsidRDefault="002F02AC" w:rsidP="002B45AA">
      <w:pPr>
        <w:pStyle w:val="BodyText"/>
      </w:pPr>
    </w:p>
    <w:p w:rsidR="0095497C" w:rsidRDefault="0095497C" w:rsidP="002B45AA">
      <w:pPr>
        <w:pStyle w:val="BodyText"/>
      </w:pPr>
    </w:p>
    <w:p w:rsidR="002B45AA" w:rsidRDefault="002B45AA" w:rsidP="002B45AA">
      <w:pPr>
        <w:pStyle w:val="Appendix"/>
        <w:pBdr>
          <w:top w:val="single" w:sz="4" w:space="1" w:color="auto"/>
        </w:pBdr>
      </w:pPr>
      <w:r>
        <w:t>Appendix 1: QIA assessment form</w:t>
      </w:r>
    </w:p>
    <w:p w:rsidR="002B45AA" w:rsidRDefault="002B45AA" w:rsidP="002B45AA">
      <w:pPr>
        <w:pStyle w:val="BodyText"/>
      </w:pPr>
      <w:r>
        <w:t>See overleaf for example image of the QIA form. The spreadsheet version can be downloaded from the QIA homepage.</w:t>
      </w:r>
    </w:p>
    <w:p w:rsidR="002B45AA" w:rsidRDefault="002B45AA" w:rsidP="002B45AA">
      <w:pPr>
        <w:pStyle w:val="BodyText"/>
      </w:pPr>
    </w:p>
    <w:p w:rsidR="002B45AA" w:rsidRDefault="002B45AA" w:rsidP="002B45AA">
      <w:pPr>
        <w:pStyle w:val="BodyText"/>
      </w:pPr>
    </w:p>
    <w:p w:rsidR="002B45AA" w:rsidRPr="002B45AA" w:rsidRDefault="002B45AA" w:rsidP="002B45AA">
      <w:pPr>
        <w:pStyle w:val="BodyText"/>
        <w:sectPr w:rsidR="002B45AA" w:rsidRPr="002B45AA" w:rsidSect="002F02AC">
          <w:headerReference w:type="even" r:id="rId15"/>
          <w:headerReference w:type="first" r:id="rId16"/>
          <w:pgSz w:w="11906" w:h="16838"/>
          <w:pgMar w:top="1440" w:right="1286" w:bottom="1440" w:left="1260" w:header="708" w:footer="708" w:gutter="0"/>
          <w:cols w:space="708"/>
          <w:docGrid w:linePitch="360"/>
        </w:sectPr>
      </w:pPr>
    </w:p>
    <w:p w:rsidR="002B45AA" w:rsidRDefault="002B45AA" w:rsidP="002B45AA">
      <w:pPr>
        <w:pStyle w:val="BodyText"/>
      </w:pPr>
      <w:r w:rsidRPr="002B45AA">
        <w:rPr>
          <w:noProof/>
          <w:lang w:eastAsia="en-GB"/>
        </w:rPr>
        <w:drawing>
          <wp:inline distT="0" distB="0" distL="0" distR="0" wp14:anchorId="32760945" wp14:editId="32760946">
            <wp:extent cx="5191125" cy="844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1125" cy="8448675"/>
                    </a:xfrm>
                    <a:prstGeom prst="rect">
                      <a:avLst/>
                    </a:prstGeom>
                    <a:noFill/>
                    <a:ln>
                      <a:noFill/>
                    </a:ln>
                  </pic:spPr>
                </pic:pic>
              </a:graphicData>
            </a:graphic>
          </wp:inline>
        </w:drawing>
      </w:r>
    </w:p>
    <w:p w:rsidR="002B45AA" w:rsidRDefault="002B45AA" w:rsidP="002B45AA">
      <w:pPr>
        <w:pStyle w:val="BodyText"/>
      </w:pPr>
    </w:p>
    <w:p w:rsidR="002B45AA" w:rsidRDefault="002B45AA" w:rsidP="002B45AA">
      <w:pPr>
        <w:pStyle w:val="BodyText"/>
        <w:sectPr w:rsidR="002B45AA" w:rsidSect="002F02AC">
          <w:pgSz w:w="11906" w:h="16838"/>
          <w:pgMar w:top="1440" w:right="1286" w:bottom="1440" w:left="1260" w:header="708" w:footer="708" w:gutter="0"/>
          <w:cols w:space="708"/>
          <w:docGrid w:linePitch="360"/>
        </w:sectPr>
      </w:pPr>
    </w:p>
    <w:p w:rsidR="00D27C7A" w:rsidRDefault="00091416" w:rsidP="00091416">
      <w:pPr>
        <w:pStyle w:val="Appendix"/>
      </w:pPr>
      <w:r>
        <w:t xml:space="preserve">Appendix 2: </w:t>
      </w:r>
      <w:r w:rsidRPr="00091416">
        <w:t>Impact Rating Table 19/20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2277"/>
        <w:gridCol w:w="2277"/>
        <w:gridCol w:w="2276"/>
        <w:gridCol w:w="2734"/>
        <w:gridCol w:w="2274"/>
      </w:tblGrid>
      <w:tr w:rsidR="00091416" w:rsidRPr="00091416" w:rsidTr="00091416">
        <w:trPr>
          <w:trHeight w:val="285"/>
        </w:trPr>
        <w:tc>
          <w:tcPr>
            <w:tcW w:w="756" w:type="pct"/>
            <w:shd w:val="clear" w:color="auto" w:fill="auto"/>
            <w:noWrap/>
            <w:hideMark/>
          </w:tcPr>
          <w:p w:rsidR="00091416" w:rsidRPr="00091416" w:rsidRDefault="00091416" w:rsidP="00091416">
            <w:pPr>
              <w:rPr>
                <w:b/>
              </w:rPr>
            </w:pPr>
            <w:r w:rsidRPr="00091416">
              <w:rPr>
                <w:b/>
              </w:rPr>
              <w:t>Impact</w:t>
            </w:r>
          </w:p>
        </w:tc>
        <w:tc>
          <w:tcPr>
            <w:tcW w:w="816" w:type="pct"/>
            <w:shd w:val="clear" w:color="auto" w:fill="auto"/>
            <w:noWrap/>
            <w:hideMark/>
          </w:tcPr>
          <w:p w:rsidR="00B108FF" w:rsidRDefault="00B108FF" w:rsidP="00091416">
            <w:pPr>
              <w:rPr>
                <w:b/>
              </w:rPr>
            </w:pPr>
            <w:r>
              <w:rPr>
                <w:b/>
              </w:rPr>
              <w:t>1</w:t>
            </w:r>
          </w:p>
          <w:p w:rsidR="00091416" w:rsidRPr="00091416" w:rsidRDefault="00091416" w:rsidP="00091416">
            <w:pPr>
              <w:rPr>
                <w:b/>
              </w:rPr>
            </w:pPr>
            <w:r w:rsidRPr="00091416">
              <w:rPr>
                <w:b/>
              </w:rPr>
              <w:t>Negligible</w:t>
            </w:r>
          </w:p>
        </w:tc>
        <w:tc>
          <w:tcPr>
            <w:tcW w:w="816" w:type="pct"/>
            <w:shd w:val="clear" w:color="auto" w:fill="92D050"/>
            <w:noWrap/>
            <w:hideMark/>
          </w:tcPr>
          <w:p w:rsidR="00B108FF" w:rsidRDefault="00B108FF" w:rsidP="00091416">
            <w:pPr>
              <w:rPr>
                <w:b/>
              </w:rPr>
            </w:pPr>
            <w:r>
              <w:rPr>
                <w:b/>
              </w:rPr>
              <w:t>2</w:t>
            </w:r>
          </w:p>
          <w:p w:rsidR="00091416" w:rsidRPr="00091416" w:rsidRDefault="00091416" w:rsidP="00091416">
            <w:pPr>
              <w:rPr>
                <w:b/>
              </w:rPr>
            </w:pPr>
            <w:r w:rsidRPr="00091416">
              <w:rPr>
                <w:b/>
              </w:rPr>
              <w:t>Minor</w:t>
            </w:r>
          </w:p>
        </w:tc>
        <w:tc>
          <w:tcPr>
            <w:tcW w:w="816" w:type="pct"/>
            <w:shd w:val="clear" w:color="auto" w:fill="FFFF00"/>
            <w:noWrap/>
            <w:hideMark/>
          </w:tcPr>
          <w:p w:rsidR="00B108FF" w:rsidRDefault="00B108FF" w:rsidP="00091416">
            <w:pPr>
              <w:rPr>
                <w:b/>
              </w:rPr>
            </w:pPr>
            <w:r>
              <w:rPr>
                <w:b/>
              </w:rPr>
              <w:t>3</w:t>
            </w:r>
          </w:p>
          <w:p w:rsidR="00091416" w:rsidRPr="00091416" w:rsidRDefault="00091416" w:rsidP="00091416">
            <w:pPr>
              <w:rPr>
                <w:b/>
              </w:rPr>
            </w:pPr>
            <w:r w:rsidRPr="00091416">
              <w:rPr>
                <w:b/>
              </w:rPr>
              <w:t>Moderate</w:t>
            </w:r>
          </w:p>
        </w:tc>
        <w:tc>
          <w:tcPr>
            <w:tcW w:w="980" w:type="pct"/>
            <w:shd w:val="clear" w:color="auto" w:fill="FFC000"/>
            <w:noWrap/>
            <w:hideMark/>
          </w:tcPr>
          <w:p w:rsidR="00B108FF" w:rsidRDefault="00B108FF" w:rsidP="00091416">
            <w:pPr>
              <w:rPr>
                <w:b/>
              </w:rPr>
            </w:pPr>
            <w:r>
              <w:rPr>
                <w:b/>
              </w:rPr>
              <w:t>4</w:t>
            </w:r>
          </w:p>
          <w:p w:rsidR="00091416" w:rsidRPr="00091416" w:rsidRDefault="00091416" w:rsidP="00091416">
            <w:pPr>
              <w:rPr>
                <w:b/>
              </w:rPr>
            </w:pPr>
            <w:r w:rsidRPr="00091416">
              <w:rPr>
                <w:b/>
              </w:rPr>
              <w:t>Major</w:t>
            </w:r>
          </w:p>
        </w:tc>
        <w:tc>
          <w:tcPr>
            <w:tcW w:w="815" w:type="pct"/>
            <w:shd w:val="clear" w:color="auto" w:fill="FF0000"/>
            <w:noWrap/>
            <w:hideMark/>
          </w:tcPr>
          <w:p w:rsidR="00B108FF" w:rsidRDefault="00B108FF" w:rsidP="00091416">
            <w:pPr>
              <w:rPr>
                <w:b/>
              </w:rPr>
            </w:pPr>
            <w:r>
              <w:rPr>
                <w:b/>
              </w:rPr>
              <w:t>5</w:t>
            </w:r>
          </w:p>
          <w:p w:rsidR="00091416" w:rsidRPr="00091416" w:rsidRDefault="00091416" w:rsidP="00091416">
            <w:pPr>
              <w:rPr>
                <w:b/>
              </w:rPr>
            </w:pPr>
            <w:r w:rsidRPr="00091416">
              <w:rPr>
                <w:b/>
              </w:rPr>
              <w:t>Catastrophic</w:t>
            </w:r>
          </w:p>
        </w:tc>
      </w:tr>
      <w:tr w:rsidR="00091416" w:rsidRPr="00091416" w:rsidTr="00091416">
        <w:trPr>
          <w:trHeight w:val="2503"/>
        </w:trPr>
        <w:tc>
          <w:tcPr>
            <w:tcW w:w="756" w:type="pct"/>
            <w:shd w:val="clear" w:color="auto" w:fill="auto"/>
            <w:noWrap/>
            <w:vAlign w:val="center"/>
            <w:hideMark/>
          </w:tcPr>
          <w:p w:rsidR="00091416" w:rsidRPr="00091416" w:rsidRDefault="00091416" w:rsidP="00091416">
            <w:pPr>
              <w:pStyle w:val="Tabletext"/>
              <w:rPr>
                <w:b/>
              </w:rPr>
            </w:pPr>
            <w:r w:rsidRPr="00091416">
              <w:rPr>
                <w:b/>
              </w:rPr>
              <w:t>Patient Safety</w:t>
            </w:r>
          </w:p>
        </w:tc>
        <w:tc>
          <w:tcPr>
            <w:tcW w:w="816" w:type="pct"/>
            <w:shd w:val="clear" w:color="auto" w:fill="auto"/>
            <w:vAlign w:val="center"/>
            <w:hideMark/>
          </w:tcPr>
          <w:p w:rsidR="00091416" w:rsidRPr="00091416" w:rsidRDefault="00091416" w:rsidP="00091416">
            <w:pPr>
              <w:pStyle w:val="Tabletext"/>
              <w:rPr>
                <w:sz w:val="20"/>
                <w:szCs w:val="20"/>
              </w:rPr>
            </w:pPr>
            <w:r w:rsidRPr="00091416">
              <w:rPr>
                <w:sz w:val="20"/>
                <w:szCs w:val="20"/>
              </w:rPr>
              <w:t>Positive Impact</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Risk of minimal injury requiring no/minimal intervention or treatment.</w:t>
            </w:r>
          </w:p>
        </w:tc>
        <w:tc>
          <w:tcPr>
            <w:tcW w:w="816" w:type="pct"/>
            <w:shd w:val="clear" w:color="auto" w:fill="92D050"/>
            <w:vAlign w:val="center"/>
            <w:hideMark/>
          </w:tcPr>
          <w:p w:rsidR="00091416" w:rsidRPr="00091416" w:rsidRDefault="00091416" w:rsidP="00091416">
            <w:pPr>
              <w:pStyle w:val="Tabletext"/>
              <w:rPr>
                <w:sz w:val="20"/>
                <w:szCs w:val="20"/>
              </w:rPr>
            </w:pPr>
            <w:r w:rsidRPr="00091416">
              <w:rPr>
                <w:sz w:val="20"/>
                <w:szCs w:val="20"/>
              </w:rPr>
              <w:t>Minor injury or illness requiring minor intervention</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Minor implications to patient safety</w:t>
            </w:r>
          </w:p>
        </w:tc>
        <w:tc>
          <w:tcPr>
            <w:tcW w:w="816" w:type="pct"/>
            <w:shd w:val="clear" w:color="auto" w:fill="FFFF00"/>
            <w:vAlign w:val="center"/>
            <w:hideMark/>
          </w:tcPr>
          <w:p w:rsidR="00091416" w:rsidRPr="00091416" w:rsidRDefault="00091416" w:rsidP="00091416">
            <w:pPr>
              <w:pStyle w:val="Tabletext"/>
              <w:rPr>
                <w:sz w:val="20"/>
                <w:szCs w:val="20"/>
              </w:rPr>
            </w:pPr>
            <w:r w:rsidRPr="00091416">
              <w:rPr>
                <w:sz w:val="20"/>
                <w:szCs w:val="20"/>
              </w:rPr>
              <w:t>Moderate injury requiring professional intervention</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An event that would impact on a small number of patients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Moderate patient safety implications</w:t>
            </w:r>
          </w:p>
        </w:tc>
        <w:tc>
          <w:tcPr>
            <w:tcW w:w="980" w:type="pct"/>
            <w:shd w:val="clear" w:color="auto" w:fill="FFC000"/>
            <w:vAlign w:val="center"/>
            <w:hideMark/>
          </w:tcPr>
          <w:p w:rsidR="00091416" w:rsidRPr="00091416" w:rsidRDefault="00091416" w:rsidP="00091416">
            <w:pPr>
              <w:pStyle w:val="Tabletext"/>
              <w:rPr>
                <w:sz w:val="20"/>
                <w:szCs w:val="20"/>
              </w:rPr>
            </w:pPr>
            <w:r w:rsidRPr="00091416">
              <w:rPr>
                <w:sz w:val="20"/>
                <w:szCs w:val="20"/>
              </w:rPr>
              <w:t>Major injury leading to long-term incapacity/disability</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Major patient safety implications</w:t>
            </w:r>
          </w:p>
        </w:tc>
        <w:tc>
          <w:tcPr>
            <w:tcW w:w="815" w:type="pct"/>
            <w:shd w:val="clear" w:color="auto" w:fill="FF0000"/>
            <w:vAlign w:val="center"/>
            <w:hideMark/>
          </w:tcPr>
          <w:p w:rsidR="00091416" w:rsidRPr="00091416" w:rsidRDefault="00091416" w:rsidP="00091416">
            <w:pPr>
              <w:pStyle w:val="Tabletext"/>
              <w:rPr>
                <w:sz w:val="20"/>
                <w:szCs w:val="20"/>
              </w:rPr>
            </w:pPr>
            <w:r w:rsidRPr="00091416">
              <w:rPr>
                <w:sz w:val="20"/>
                <w:szCs w:val="20"/>
              </w:rPr>
              <w:t>Incident leading to death</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An event which impacts on a large number of patients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Gross failure of patient safety</w:t>
            </w:r>
          </w:p>
        </w:tc>
      </w:tr>
      <w:tr w:rsidR="00091416" w:rsidRPr="00091416" w:rsidTr="00091416">
        <w:trPr>
          <w:trHeight w:val="1970"/>
        </w:trPr>
        <w:tc>
          <w:tcPr>
            <w:tcW w:w="756" w:type="pct"/>
            <w:shd w:val="clear" w:color="auto" w:fill="auto"/>
            <w:noWrap/>
            <w:vAlign w:val="center"/>
            <w:hideMark/>
          </w:tcPr>
          <w:p w:rsidR="00091416" w:rsidRPr="00091416" w:rsidRDefault="00091416" w:rsidP="00091416">
            <w:pPr>
              <w:pStyle w:val="Tabletext"/>
              <w:rPr>
                <w:b/>
              </w:rPr>
            </w:pPr>
            <w:r w:rsidRPr="00091416">
              <w:rPr>
                <w:b/>
              </w:rPr>
              <w:t>Clinical Effectiveness</w:t>
            </w:r>
          </w:p>
        </w:tc>
        <w:tc>
          <w:tcPr>
            <w:tcW w:w="816" w:type="pct"/>
            <w:shd w:val="clear" w:color="auto" w:fill="auto"/>
            <w:vAlign w:val="center"/>
            <w:hideMark/>
          </w:tcPr>
          <w:p w:rsidR="00091416" w:rsidRPr="00091416" w:rsidRDefault="00091416" w:rsidP="00091416">
            <w:pPr>
              <w:pStyle w:val="Tabletext"/>
              <w:rPr>
                <w:sz w:val="20"/>
                <w:szCs w:val="20"/>
              </w:rPr>
            </w:pPr>
            <w:r w:rsidRPr="00091416">
              <w:rPr>
                <w:sz w:val="20"/>
                <w:szCs w:val="20"/>
              </w:rPr>
              <w:t>Positive Impact</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No Impact</w:t>
            </w:r>
          </w:p>
        </w:tc>
        <w:tc>
          <w:tcPr>
            <w:tcW w:w="816" w:type="pct"/>
            <w:shd w:val="clear" w:color="auto" w:fill="92D050"/>
            <w:vAlign w:val="center"/>
            <w:hideMark/>
          </w:tcPr>
          <w:p w:rsidR="00091416" w:rsidRPr="00091416" w:rsidRDefault="00091416" w:rsidP="00091416">
            <w:pPr>
              <w:pStyle w:val="Tabletext"/>
              <w:rPr>
                <w:sz w:val="20"/>
                <w:szCs w:val="20"/>
              </w:rPr>
            </w:pPr>
            <w:r w:rsidRPr="00091416">
              <w:rPr>
                <w:sz w:val="20"/>
                <w:szCs w:val="20"/>
              </w:rPr>
              <w:t>Increase in length of hospital stay by 1-3 days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Single failure to meet internal standards</w:t>
            </w:r>
          </w:p>
        </w:tc>
        <w:tc>
          <w:tcPr>
            <w:tcW w:w="816" w:type="pct"/>
            <w:shd w:val="clear" w:color="auto" w:fill="FFFF00"/>
            <w:vAlign w:val="center"/>
            <w:hideMark/>
          </w:tcPr>
          <w:p w:rsidR="00091416" w:rsidRPr="00091416" w:rsidRDefault="00091416" w:rsidP="00091416">
            <w:pPr>
              <w:pStyle w:val="Tabletext"/>
              <w:rPr>
                <w:sz w:val="20"/>
                <w:szCs w:val="20"/>
              </w:rPr>
            </w:pPr>
            <w:r w:rsidRPr="00091416">
              <w:rPr>
                <w:sz w:val="20"/>
                <w:szCs w:val="20"/>
              </w:rPr>
              <w:t>Increase in length of hospital stay by 4 - 15 days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Repeated failure to meet internal standards</w:t>
            </w:r>
          </w:p>
        </w:tc>
        <w:tc>
          <w:tcPr>
            <w:tcW w:w="980" w:type="pct"/>
            <w:shd w:val="clear" w:color="auto" w:fill="FFC000"/>
            <w:vAlign w:val="center"/>
            <w:hideMark/>
          </w:tcPr>
          <w:p w:rsidR="00091416" w:rsidRPr="00091416" w:rsidRDefault="00091416" w:rsidP="00091416">
            <w:pPr>
              <w:pStyle w:val="Tabletext"/>
              <w:rPr>
                <w:sz w:val="20"/>
                <w:szCs w:val="20"/>
              </w:rPr>
            </w:pPr>
            <w:r w:rsidRPr="00091416">
              <w:rPr>
                <w:sz w:val="20"/>
                <w:szCs w:val="20"/>
              </w:rPr>
              <w:t>Increase in length of hospital stay by &gt;15 days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Mismanagement of patient care with long-term effects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Non-compliance with national standards</w:t>
            </w:r>
          </w:p>
        </w:tc>
        <w:tc>
          <w:tcPr>
            <w:tcW w:w="815" w:type="pct"/>
            <w:shd w:val="clear" w:color="auto" w:fill="FF0000"/>
            <w:vAlign w:val="center"/>
            <w:hideMark/>
          </w:tcPr>
          <w:p w:rsidR="00091416" w:rsidRPr="00091416" w:rsidRDefault="00091416" w:rsidP="00091416">
            <w:pPr>
              <w:pStyle w:val="Tabletext"/>
              <w:rPr>
                <w:sz w:val="20"/>
                <w:szCs w:val="20"/>
              </w:rPr>
            </w:pPr>
            <w:r w:rsidRPr="00091416">
              <w:rPr>
                <w:sz w:val="20"/>
                <w:szCs w:val="20"/>
              </w:rPr>
              <w:t>Multiple permanent injuries or irreversible effects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Gross failure to meet national standards</w:t>
            </w:r>
          </w:p>
        </w:tc>
      </w:tr>
      <w:tr w:rsidR="00091416" w:rsidRPr="00091416" w:rsidTr="00091416">
        <w:trPr>
          <w:trHeight w:val="1803"/>
        </w:trPr>
        <w:tc>
          <w:tcPr>
            <w:tcW w:w="756" w:type="pct"/>
            <w:shd w:val="clear" w:color="auto" w:fill="auto"/>
            <w:noWrap/>
            <w:vAlign w:val="center"/>
            <w:hideMark/>
          </w:tcPr>
          <w:p w:rsidR="00091416" w:rsidRPr="00091416" w:rsidRDefault="00091416" w:rsidP="00091416">
            <w:pPr>
              <w:pStyle w:val="Tabletext"/>
              <w:rPr>
                <w:b/>
              </w:rPr>
            </w:pPr>
            <w:r w:rsidRPr="00091416">
              <w:rPr>
                <w:b/>
              </w:rPr>
              <w:t>Patient Experience</w:t>
            </w:r>
          </w:p>
        </w:tc>
        <w:tc>
          <w:tcPr>
            <w:tcW w:w="816" w:type="pct"/>
            <w:shd w:val="clear" w:color="auto" w:fill="auto"/>
            <w:vAlign w:val="center"/>
            <w:hideMark/>
          </w:tcPr>
          <w:p w:rsidR="00091416" w:rsidRPr="00091416" w:rsidRDefault="00091416" w:rsidP="00091416">
            <w:pPr>
              <w:pStyle w:val="Tabletext"/>
              <w:rPr>
                <w:sz w:val="20"/>
                <w:szCs w:val="20"/>
              </w:rPr>
            </w:pPr>
            <w:r w:rsidRPr="00091416">
              <w:rPr>
                <w:sz w:val="20"/>
                <w:szCs w:val="20"/>
              </w:rPr>
              <w:t>Positive Impact</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Impact on peripheral element of treatment or service suboptimal</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Informal Complaint</w:t>
            </w:r>
          </w:p>
        </w:tc>
        <w:tc>
          <w:tcPr>
            <w:tcW w:w="816" w:type="pct"/>
            <w:shd w:val="clear" w:color="auto" w:fill="92D050"/>
            <w:vAlign w:val="center"/>
            <w:hideMark/>
          </w:tcPr>
          <w:p w:rsidR="00091416" w:rsidRPr="00091416" w:rsidRDefault="00091416" w:rsidP="00091416">
            <w:pPr>
              <w:pStyle w:val="Tabletext"/>
              <w:rPr>
                <w:sz w:val="20"/>
                <w:szCs w:val="20"/>
              </w:rPr>
            </w:pPr>
            <w:r w:rsidRPr="00091416">
              <w:rPr>
                <w:sz w:val="20"/>
                <w:szCs w:val="20"/>
              </w:rPr>
              <w:t>Overall treatment or service suboptimal</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Formal complaint</w:t>
            </w:r>
          </w:p>
        </w:tc>
        <w:tc>
          <w:tcPr>
            <w:tcW w:w="816" w:type="pct"/>
            <w:shd w:val="clear" w:color="auto" w:fill="FFFF00"/>
            <w:vAlign w:val="center"/>
            <w:hideMark/>
          </w:tcPr>
          <w:p w:rsidR="00091416" w:rsidRPr="00091416" w:rsidRDefault="00091416" w:rsidP="00091416">
            <w:pPr>
              <w:pStyle w:val="Tabletext"/>
              <w:rPr>
                <w:sz w:val="20"/>
                <w:szCs w:val="20"/>
              </w:rPr>
            </w:pPr>
            <w:r w:rsidRPr="00091416">
              <w:rPr>
                <w:sz w:val="20"/>
                <w:szCs w:val="20"/>
              </w:rPr>
              <w:t>Treatment or service has significantly reduced effectiveness</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Formal complaint</w:t>
            </w:r>
          </w:p>
        </w:tc>
        <w:tc>
          <w:tcPr>
            <w:tcW w:w="980" w:type="pct"/>
            <w:shd w:val="clear" w:color="auto" w:fill="FFC000"/>
            <w:vAlign w:val="center"/>
            <w:hideMark/>
          </w:tcPr>
          <w:p w:rsidR="00091416" w:rsidRPr="00091416" w:rsidRDefault="00091416" w:rsidP="00091416">
            <w:pPr>
              <w:pStyle w:val="Tabletext"/>
              <w:rPr>
                <w:sz w:val="20"/>
                <w:szCs w:val="20"/>
              </w:rPr>
            </w:pPr>
            <w:r w:rsidRPr="00091416">
              <w:rPr>
                <w:sz w:val="20"/>
                <w:szCs w:val="20"/>
              </w:rPr>
              <w:t>Service well below reasonable public expectation</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Multiple complaints</w:t>
            </w:r>
          </w:p>
        </w:tc>
        <w:tc>
          <w:tcPr>
            <w:tcW w:w="815" w:type="pct"/>
            <w:shd w:val="clear" w:color="auto" w:fill="FF0000"/>
            <w:vAlign w:val="center"/>
            <w:hideMark/>
          </w:tcPr>
          <w:p w:rsidR="00091416" w:rsidRPr="00091416" w:rsidRDefault="00091416" w:rsidP="00091416">
            <w:pPr>
              <w:pStyle w:val="Tabletext"/>
              <w:rPr>
                <w:sz w:val="20"/>
                <w:szCs w:val="20"/>
              </w:rPr>
            </w:pPr>
            <w:r w:rsidRPr="00091416">
              <w:rPr>
                <w:sz w:val="20"/>
                <w:szCs w:val="20"/>
              </w:rPr>
              <w:t>Totally unacceptable level or quality of treatment or service</w:t>
            </w:r>
          </w:p>
          <w:p w:rsidR="00091416" w:rsidRPr="00091416" w:rsidRDefault="00091416" w:rsidP="00091416">
            <w:pPr>
              <w:pStyle w:val="Tabletext"/>
              <w:rPr>
                <w:sz w:val="20"/>
                <w:szCs w:val="20"/>
              </w:rPr>
            </w:pPr>
            <w:r w:rsidRPr="00091416">
              <w:rPr>
                <w:sz w:val="20"/>
                <w:szCs w:val="20"/>
              </w:rPr>
              <w:t>OR</w:t>
            </w:r>
          </w:p>
          <w:p w:rsidR="00091416" w:rsidRPr="00091416" w:rsidRDefault="00091416" w:rsidP="00091416">
            <w:pPr>
              <w:pStyle w:val="Tabletext"/>
              <w:rPr>
                <w:sz w:val="20"/>
                <w:szCs w:val="20"/>
              </w:rPr>
            </w:pPr>
            <w:r w:rsidRPr="00091416">
              <w:rPr>
                <w:sz w:val="20"/>
                <w:szCs w:val="20"/>
              </w:rPr>
              <w:t>Ombudsman enquiry</w:t>
            </w:r>
          </w:p>
        </w:tc>
      </w:tr>
    </w:tbl>
    <w:p w:rsidR="00D27C7A" w:rsidRDefault="00D27C7A" w:rsidP="002B45AA">
      <w:pPr>
        <w:pStyle w:val="BodyText"/>
      </w:pPr>
    </w:p>
    <w:p w:rsidR="00091416" w:rsidRDefault="00091416" w:rsidP="002B45AA">
      <w:pPr>
        <w:pStyle w:val="BodyText"/>
      </w:pPr>
    </w:p>
    <w:p w:rsidR="00620E45" w:rsidRDefault="00620E45" w:rsidP="002B45AA">
      <w:pPr>
        <w:pStyle w:val="BodyText"/>
        <w:sectPr w:rsidR="00620E45" w:rsidSect="00D27C7A">
          <w:headerReference w:type="default" r:id="rId18"/>
          <w:pgSz w:w="16838" w:h="11906" w:orient="landscape"/>
          <w:pgMar w:top="1260" w:right="1440" w:bottom="1286" w:left="1440" w:header="708" w:footer="708" w:gutter="0"/>
          <w:cols w:space="708"/>
          <w:docGrid w:linePitch="360"/>
        </w:sectPr>
      </w:pPr>
    </w:p>
    <w:p w:rsidR="00620E45" w:rsidRDefault="00620E45" w:rsidP="00620E45">
      <w:pPr>
        <w:pStyle w:val="Appendix"/>
      </w:pPr>
      <w:r>
        <w:t xml:space="preserve">Appendix </w:t>
      </w:r>
      <w:r w:rsidR="009546AB">
        <w:t>3</w:t>
      </w:r>
      <w:r>
        <w:t xml:space="preserve">: </w:t>
      </w:r>
      <w:r w:rsidRPr="00091416">
        <w:t>Impact Rating Table 19/20</w:t>
      </w:r>
    </w:p>
    <w:tbl>
      <w:tblPr>
        <w:tblW w:w="13467" w:type="dxa"/>
        <w:tblInd w:w="108" w:type="dxa"/>
        <w:tblLook w:val="04A0" w:firstRow="1" w:lastRow="0" w:firstColumn="1" w:lastColumn="0" w:noHBand="0" w:noVBand="1"/>
      </w:tblPr>
      <w:tblGrid>
        <w:gridCol w:w="1353"/>
        <w:gridCol w:w="2333"/>
        <w:gridCol w:w="2410"/>
        <w:gridCol w:w="2409"/>
        <w:gridCol w:w="2410"/>
        <w:gridCol w:w="2552"/>
      </w:tblGrid>
      <w:tr w:rsidR="00620E45" w:rsidRPr="007B2FA9" w:rsidTr="00332D41">
        <w:trPr>
          <w:trHeight w:val="220"/>
        </w:trPr>
        <w:tc>
          <w:tcPr>
            <w:tcW w:w="1353" w:type="dxa"/>
            <w:tcBorders>
              <w:top w:val="nil"/>
              <w:left w:val="nil"/>
              <w:bottom w:val="nil"/>
              <w:right w:val="single" w:sz="4" w:space="0" w:color="auto"/>
            </w:tcBorders>
            <w:shd w:val="clear" w:color="auto" w:fill="auto"/>
            <w:vAlign w:val="bottom"/>
            <w:hideMark/>
          </w:tcPr>
          <w:p w:rsidR="00620E45" w:rsidRPr="007B2FA9" w:rsidRDefault="00620E45" w:rsidP="00332D41">
            <w:pPr>
              <w:rPr>
                <w:rFonts w:cs="Arial"/>
                <w:sz w:val="20"/>
                <w:szCs w:val="20"/>
              </w:rPr>
            </w:pPr>
          </w:p>
        </w:tc>
        <w:tc>
          <w:tcPr>
            <w:tcW w:w="12114" w:type="dxa"/>
            <w:gridSpan w:val="5"/>
            <w:tcBorders>
              <w:top w:val="single" w:sz="8" w:space="0" w:color="auto"/>
              <w:left w:val="single" w:sz="4" w:space="0" w:color="auto"/>
              <w:bottom w:val="nil"/>
              <w:right w:val="single" w:sz="8" w:space="0" w:color="000000"/>
            </w:tcBorders>
            <w:shd w:val="clear" w:color="auto" w:fill="D9D9D9"/>
            <w:vAlign w:val="bottom"/>
            <w:hideMark/>
          </w:tcPr>
          <w:p w:rsidR="00620E45" w:rsidRPr="007B2FA9" w:rsidRDefault="00620E45" w:rsidP="00332D41">
            <w:pPr>
              <w:jc w:val="center"/>
              <w:rPr>
                <w:rFonts w:cs="Arial"/>
                <w:b/>
                <w:color w:val="000000"/>
              </w:rPr>
            </w:pPr>
            <w:r w:rsidRPr="007B2FA9">
              <w:rPr>
                <w:rFonts w:cs="Arial"/>
                <w:b/>
                <w:color w:val="000000"/>
              </w:rPr>
              <w:t>Rating</w:t>
            </w:r>
          </w:p>
        </w:tc>
      </w:tr>
      <w:tr w:rsidR="00620E45" w:rsidRPr="007B2FA9" w:rsidTr="00332D41">
        <w:trPr>
          <w:trHeight w:val="506"/>
        </w:trPr>
        <w:tc>
          <w:tcPr>
            <w:tcW w:w="1353" w:type="dxa"/>
            <w:tcBorders>
              <w:bottom w:val="single" w:sz="4"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 </w:t>
            </w:r>
          </w:p>
        </w:tc>
        <w:tc>
          <w:tcPr>
            <w:tcW w:w="2333" w:type="dxa"/>
            <w:tcBorders>
              <w:top w:val="single" w:sz="8" w:space="0" w:color="auto"/>
              <w:left w:val="single" w:sz="4" w:space="0" w:color="auto"/>
              <w:bottom w:val="single" w:sz="8" w:space="0" w:color="auto"/>
              <w:right w:val="single" w:sz="4" w:space="0" w:color="auto"/>
            </w:tcBorders>
            <w:shd w:val="clear" w:color="auto" w:fill="BDD6EE"/>
            <w:vAlign w:val="bottom"/>
            <w:hideMark/>
          </w:tcPr>
          <w:p w:rsidR="00620E45" w:rsidRDefault="00620E45" w:rsidP="00332D41">
            <w:pPr>
              <w:jc w:val="center"/>
              <w:rPr>
                <w:rFonts w:cs="Arial"/>
                <w:b/>
                <w:color w:val="000000"/>
              </w:rPr>
            </w:pPr>
            <w:r w:rsidRPr="007B2FA9">
              <w:rPr>
                <w:rFonts w:cs="Arial"/>
                <w:b/>
                <w:color w:val="000000"/>
              </w:rPr>
              <w:t>1</w:t>
            </w:r>
          </w:p>
          <w:p w:rsidR="00620E45" w:rsidRPr="007B2FA9" w:rsidRDefault="00620E45" w:rsidP="00332D41">
            <w:pPr>
              <w:jc w:val="center"/>
              <w:rPr>
                <w:rFonts w:cs="Arial"/>
                <w:b/>
                <w:color w:val="000000"/>
              </w:rPr>
            </w:pPr>
            <w:r w:rsidRPr="007B2FA9">
              <w:rPr>
                <w:rFonts w:cs="Arial"/>
                <w:b/>
                <w:color w:val="000000"/>
              </w:rPr>
              <w:t>Rare</w:t>
            </w:r>
          </w:p>
        </w:tc>
        <w:tc>
          <w:tcPr>
            <w:tcW w:w="2410" w:type="dxa"/>
            <w:tcBorders>
              <w:top w:val="single" w:sz="8" w:space="0" w:color="auto"/>
              <w:left w:val="nil"/>
              <w:bottom w:val="single" w:sz="8" w:space="0" w:color="auto"/>
              <w:right w:val="single" w:sz="4" w:space="0" w:color="auto"/>
            </w:tcBorders>
            <w:shd w:val="clear" w:color="auto" w:fill="BDD6EE"/>
            <w:vAlign w:val="bottom"/>
            <w:hideMark/>
          </w:tcPr>
          <w:p w:rsidR="00620E45" w:rsidRDefault="00620E45" w:rsidP="00332D41">
            <w:pPr>
              <w:jc w:val="center"/>
              <w:rPr>
                <w:rFonts w:cs="Arial"/>
                <w:b/>
                <w:color w:val="000000"/>
              </w:rPr>
            </w:pPr>
            <w:r w:rsidRPr="007B2FA9">
              <w:rPr>
                <w:rFonts w:cs="Arial"/>
                <w:b/>
                <w:color w:val="000000"/>
              </w:rPr>
              <w:t>2</w:t>
            </w:r>
          </w:p>
          <w:p w:rsidR="00620E45" w:rsidRPr="007B2FA9" w:rsidRDefault="00620E45" w:rsidP="00332D41">
            <w:pPr>
              <w:jc w:val="center"/>
              <w:rPr>
                <w:rFonts w:cs="Arial"/>
                <w:b/>
                <w:color w:val="000000"/>
              </w:rPr>
            </w:pPr>
            <w:r w:rsidRPr="007B2FA9">
              <w:rPr>
                <w:rFonts w:cs="Arial"/>
                <w:b/>
                <w:color w:val="000000"/>
              </w:rPr>
              <w:t>Unlikely</w:t>
            </w:r>
          </w:p>
        </w:tc>
        <w:tc>
          <w:tcPr>
            <w:tcW w:w="2409" w:type="dxa"/>
            <w:tcBorders>
              <w:top w:val="single" w:sz="8" w:space="0" w:color="auto"/>
              <w:left w:val="nil"/>
              <w:bottom w:val="single" w:sz="8" w:space="0" w:color="auto"/>
              <w:right w:val="single" w:sz="4" w:space="0" w:color="auto"/>
            </w:tcBorders>
            <w:shd w:val="clear" w:color="auto" w:fill="BDD6EE"/>
            <w:vAlign w:val="bottom"/>
            <w:hideMark/>
          </w:tcPr>
          <w:p w:rsidR="00620E45" w:rsidRDefault="00620E45" w:rsidP="00332D41">
            <w:pPr>
              <w:jc w:val="center"/>
              <w:rPr>
                <w:rFonts w:cs="Arial"/>
                <w:b/>
                <w:color w:val="000000"/>
              </w:rPr>
            </w:pPr>
            <w:r w:rsidRPr="007B2FA9">
              <w:rPr>
                <w:rFonts w:cs="Arial"/>
                <w:b/>
                <w:color w:val="000000"/>
              </w:rPr>
              <w:t>3</w:t>
            </w:r>
          </w:p>
          <w:p w:rsidR="00620E45" w:rsidRPr="007B2FA9" w:rsidRDefault="00620E45" w:rsidP="00332D41">
            <w:pPr>
              <w:jc w:val="center"/>
              <w:rPr>
                <w:rFonts w:cs="Arial"/>
                <w:b/>
                <w:color w:val="000000"/>
              </w:rPr>
            </w:pPr>
            <w:r w:rsidRPr="007B2FA9">
              <w:rPr>
                <w:rFonts w:cs="Arial"/>
                <w:b/>
                <w:color w:val="000000"/>
              </w:rPr>
              <w:t>Possible</w:t>
            </w:r>
          </w:p>
        </w:tc>
        <w:tc>
          <w:tcPr>
            <w:tcW w:w="2410" w:type="dxa"/>
            <w:tcBorders>
              <w:top w:val="single" w:sz="8" w:space="0" w:color="auto"/>
              <w:left w:val="nil"/>
              <w:bottom w:val="single" w:sz="8" w:space="0" w:color="auto"/>
              <w:right w:val="single" w:sz="4" w:space="0" w:color="auto"/>
            </w:tcBorders>
            <w:shd w:val="clear" w:color="auto" w:fill="BDD6EE"/>
            <w:vAlign w:val="bottom"/>
            <w:hideMark/>
          </w:tcPr>
          <w:p w:rsidR="00620E45" w:rsidRDefault="00620E45" w:rsidP="00332D41">
            <w:pPr>
              <w:jc w:val="center"/>
              <w:rPr>
                <w:rFonts w:cs="Arial"/>
                <w:b/>
                <w:color w:val="000000"/>
              </w:rPr>
            </w:pPr>
            <w:r w:rsidRPr="007B2FA9">
              <w:rPr>
                <w:rFonts w:cs="Arial"/>
                <w:b/>
                <w:color w:val="000000"/>
              </w:rPr>
              <w:t>4</w:t>
            </w:r>
          </w:p>
          <w:p w:rsidR="00620E45" w:rsidRPr="007B2FA9" w:rsidRDefault="00620E45" w:rsidP="00332D41">
            <w:pPr>
              <w:jc w:val="center"/>
              <w:rPr>
                <w:rFonts w:cs="Arial"/>
                <w:b/>
                <w:color w:val="000000"/>
              </w:rPr>
            </w:pPr>
            <w:r w:rsidRPr="007B2FA9">
              <w:rPr>
                <w:rFonts w:cs="Arial"/>
                <w:b/>
                <w:color w:val="000000"/>
              </w:rPr>
              <w:t>Likely</w:t>
            </w:r>
          </w:p>
        </w:tc>
        <w:tc>
          <w:tcPr>
            <w:tcW w:w="2552" w:type="dxa"/>
            <w:tcBorders>
              <w:top w:val="single" w:sz="8" w:space="0" w:color="auto"/>
              <w:left w:val="nil"/>
              <w:bottom w:val="single" w:sz="8" w:space="0" w:color="auto"/>
              <w:right w:val="single" w:sz="8" w:space="0" w:color="auto"/>
            </w:tcBorders>
            <w:shd w:val="clear" w:color="auto" w:fill="BDD6EE"/>
            <w:vAlign w:val="bottom"/>
            <w:hideMark/>
          </w:tcPr>
          <w:p w:rsidR="00620E45" w:rsidRDefault="00620E45" w:rsidP="00332D41">
            <w:pPr>
              <w:jc w:val="center"/>
              <w:rPr>
                <w:rFonts w:cs="Arial"/>
                <w:b/>
                <w:color w:val="000000"/>
              </w:rPr>
            </w:pPr>
            <w:r w:rsidRPr="007B2FA9">
              <w:rPr>
                <w:rFonts w:cs="Arial"/>
                <w:b/>
                <w:color w:val="000000"/>
              </w:rPr>
              <w:t>5</w:t>
            </w:r>
          </w:p>
          <w:p w:rsidR="00620E45" w:rsidRPr="007B2FA9" w:rsidRDefault="00620E45" w:rsidP="00332D41">
            <w:pPr>
              <w:jc w:val="center"/>
              <w:rPr>
                <w:rFonts w:cs="Arial"/>
                <w:b/>
                <w:color w:val="000000"/>
              </w:rPr>
            </w:pPr>
            <w:r w:rsidRPr="007B2FA9">
              <w:rPr>
                <w:rFonts w:cs="Arial"/>
                <w:b/>
                <w:color w:val="000000"/>
              </w:rPr>
              <w:t>Almost Certain</w:t>
            </w:r>
          </w:p>
        </w:tc>
      </w:tr>
      <w:tr w:rsidR="00620E45" w:rsidRPr="007B2FA9" w:rsidTr="00332D41">
        <w:trPr>
          <w:trHeight w:val="1579"/>
        </w:trPr>
        <w:tc>
          <w:tcPr>
            <w:tcW w:w="1353" w:type="dxa"/>
            <w:tcBorders>
              <w:top w:val="single" w:sz="4" w:space="0" w:color="auto"/>
              <w:left w:val="single" w:sz="8" w:space="0" w:color="auto"/>
              <w:bottom w:val="single" w:sz="4" w:space="0" w:color="auto"/>
              <w:right w:val="single" w:sz="8" w:space="0" w:color="auto"/>
            </w:tcBorders>
            <w:shd w:val="clear" w:color="auto" w:fill="BDD6EE"/>
            <w:vAlign w:val="bottom"/>
            <w:hideMark/>
          </w:tcPr>
          <w:p w:rsidR="00620E45" w:rsidRPr="007B2FA9" w:rsidRDefault="00620E45" w:rsidP="00332D41">
            <w:pPr>
              <w:rPr>
                <w:rFonts w:cs="Arial"/>
                <w:b/>
                <w:color w:val="000000"/>
              </w:rPr>
            </w:pPr>
            <w:r w:rsidRPr="007B2FA9">
              <w:rPr>
                <w:rFonts w:cs="Arial"/>
                <w:b/>
                <w:color w:val="000000"/>
              </w:rPr>
              <w:t>Frequency</w:t>
            </w:r>
          </w:p>
        </w:tc>
        <w:tc>
          <w:tcPr>
            <w:tcW w:w="2333" w:type="dxa"/>
            <w:tcBorders>
              <w:top w:val="nil"/>
              <w:left w:val="nil"/>
              <w:bottom w:val="single" w:sz="4"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Not expected to occur for years</w:t>
            </w:r>
          </w:p>
        </w:tc>
        <w:tc>
          <w:tcPr>
            <w:tcW w:w="2410" w:type="dxa"/>
            <w:tcBorders>
              <w:top w:val="nil"/>
              <w:left w:val="nil"/>
              <w:bottom w:val="single" w:sz="4"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Expected to occur at least annually</w:t>
            </w:r>
          </w:p>
        </w:tc>
        <w:tc>
          <w:tcPr>
            <w:tcW w:w="2409" w:type="dxa"/>
            <w:tcBorders>
              <w:top w:val="nil"/>
              <w:left w:val="nil"/>
              <w:bottom w:val="single" w:sz="4"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Expected to occur at least monthly</w:t>
            </w:r>
          </w:p>
        </w:tc>
        <w:tc>
          <w:tcPr>
            <w:tcW w:w="2410" w:type="dxa"/>
            <w:tcBorders>
              <w:top w:val="nil"/>
              <w:left w:val="nil"/>
              <w:bottom w:val="single" w:sz="4"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Expected to occur at least weekly</w:t>
            </w:r>
          </w:p>
        </w:tc>
        <w:tc>
          <w:tcPr>
            <w:tcW w:w="2552" w:type="dxa"/>
            <w:tcBorders>
              <w:top w:val="nil"/>
              <w:left w:val="nil"/>
              <w:bottom w:val="single" w:sz="4" w:space="0" w:color="auto"/>
              <w:right w:val="single" w:sz="8"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Expected to occr at least daily</w:t>
            </w:r>
          </w:p>
        </w:tc>
      </w:tr>
      <w:tr w:rsidR="00620E45" w:rsidRPr="007B2FA9" w:rsidTr="00332D41">
        <w:trPr>
          <w:trHeight w:val="1597"/>
        </w:trPr>
        <w:tc>
          <w:tcPr>
            <w:tcW w:w="1353" w:type="dxa"/>
            <w:tcBorders>
              <w:top w:val="nil"/>
              <w:left w:val="single" w:sz="8" w:space="0" w:color="auto"/>
              <w:bottom w:val="single" w:sz="8" w:space="0" w:color="auto"/>
              <w:right w:val="single" w:sz="8" w:space="0" w:color="auto"/>
            </w:tcBorders>
            <w:shd w:val="clear" w:color="auto" w:fill="BDD6EE"/>
            <w:vAlign w:val="bottom"/>
            <w:hideMark/>
          </w:tcPr>
          <w:p w:rsidR="00620E45" w:rsidRPr="007B2FA9" w:rsidRDefault="00620E45" w:rsidP="00332D41">
            <w:pPr>
              <w:rPr>
                <w:rFonts w:cs="Arial"/>
                <w:b/>
                <w:color w:val="000000"/>
              </w:rPr>
            </w:pPr>
            <w:r w:rsidRPr="007B2FA9">
              <w:rPr>
                <w:rFonts w:cs="Arial"/>
                <w:b/>
                <w:color w:val="000000"/>
              </w:rPr>
              <w:t>Probability</w:t>
            </w:r>
          </w:p>
        </w:tc>
        <w:tc>
          <w:tcPr>
            <w:tcW w:w="2333" w:type="dxa"/>
            <w:tcBorders>
              <w:top w:val="nil"/>
              <w:left w:val="nil"/>
              <w:bottom w:val="single" w:sz="8"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Will only occur in exceptional circumstances</w:t>
            </w:r>
          </w:p>
        </w:tc>
        <w:tc>
          <w:tcPr>
            <w:tcW w:w="2410" w:type="dxa"/>
            <w:tcBorders>
              <w:top w:val="nil"/>
              <w:left w:val="nil"/>
              <w:bottom w:val="single" w:sz="8"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Unlikely to occur</w:t>
            </w:r>
          </w:p>
        </w:tc>
        <w:tc>
          <w:tcPr>
            <w:tcW w:w="2409" w:type="dxa"/>
            <w:tcBorders>
              <w:top w:val="nil"/>
              <w:left w:val="nil"/>
              <w:bottom w:val="single" w:sz="8"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Reasonable chance of occuring</w:t>
            </w:r>
          </w:p>
        </w:tc>
        <w:tc>
          <w:tcPr>
            <w:tcW w:w="2410" w:type="dxa"/>
            <w:tcBorders>
              <w:top w:val="nil"/>
              <w:left w:val="nil"/>
              <w:bottom w:val="single" w:sz="8" w:space="0" w:color="auto"/>
              <w:right w:val="single" w:sz="4"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Likely to occur</w:t>
            </w:r>
          </w:p>
        </w:tc>
        <w:tc>
          <w:tcPr>
            <w:tcW w:w="2552" w:type="dxa"/>
            <w:tcBorders>
              <w:top w:val="nil"/>
              <w:left w:val="nil"/>
              <w:bottom w:val="single" w:sz="8" w:space="0" w:color="auto"/>
              <w:right w:val="single" w:sz="8" w:space="0" w:color="auto"/>
            </w:tcBorders>
            <w:shd w:val="clear" w:color="auto" w:fill="auto"/>
            <w:vAlign w:val="bottom"/>
            <w:hideMark/>
          </w:tcPr>
          <w:p w:rsidR="00620E45" w:rsidRPr="007B2FA9" w:rsidRDefault="00620E45" w:rsidP="00332D41">
            <w:pPr>
              <w:rPr>
                <w:rFonts w:cs="Arial"/>
                <w:color w:val="000000"/>
              </w:rPr>
            </w:pPr>
            <w:r w:rsidRPr="007B2FA9">
              <w:rPr>
                <w:rFonts w:cs="Arial"/>
                <w:color w:val="000000"/>
              </w:rPr>
              <w:t>More likely to occur than not</w:t>
            </w:r>
          </w:p>
        </w:tc>
      </w:tr>
    </w:tbl>
    <w:p w:rsidR="00091416" w:rsidRDefault="00091416" w:rsidP="002B45AA">
      <w:pPr>
        <w:pStyle w:val="BodyText"/>
      </w:pPr>
    </w:p>
    <w:p w:rsidR="00620E45" w:rsidRDefault="00620E45" w:rsidP="002B45AA">
      <w:pPr>
        <w:pStyle w:val="BodyText"/>
      </w:pPr>
    </w:p>
    <w:p w:rsidR="00620E45" w:rsidRDefault="00620E45" w:rsidP="002B45AA">
      <w:pPr>
        <w:pStyle w:val="BodyText"/>
      </w:pPr>
    </w:p>
    <w:p w:rsidR="00620E45" w:rsidRDefault="00620E45" w:rsidP="002B45AA">
      <w:pPr>
        <w:pStyle w:val="BodyText"/>
        <w:sectPr w:rsidR="00620E45" w:rsidSect="00D27C7A">
          <w:pgSz w:w="16838" w:h="11906" w:orient="landscape"/>
          <w:pgMar w:top="1260" w:right="1440" w:bottom="1286" w:left="1440" w:header="708" w:footer="708" w:gutter="0"/>
          <w:cols w:space="708"/>
          <w:docGrid w:linePitch="360"/>
        </w:sectPr>
      </w:pPr>
    </w:p>
    <w:p w:rsidR="00620E45" w:rsidRDefault="00620E45" w:rsidP="00620E45">
      <w:pPr>
        <w:pStyle w:val="Appendix"/>
      </w:pPr>
      <w:r>
        <w:t xml:space="preserve">Appendix </w:t>
      </w:r>
      <w:r w:rsidR="009546AB">
        <w:t>4</w:t>
      </w:r>
      <w:r>
        <w:t xml:space="preserve">: </w:t>
      </w:r>
      <w:r w:rsidR="009546AB">
        <w:t>QIA Process Flow Chart</w:t>
      </w:r>
    </w:p>
    <w:p w:rsidR="00D27C7A" w:rsidRPr="00652B6D" w:rsidRDefault="009546AB" w:rsidP="002B45AA">
      <w:pPr>
        <w:pStyle w:val="BodyText"/>
      </w:pPr>
      <w:r w:rsidRPr="009546AB">
        <w:rPr>
          <w:noProof/>
          <w:lang w:eastAsia="en-GB"/>
        </w:rPr>
        <w:drawing>
          <wp:inline distT="0" distB="0" distL="0" distR="0" wp14:anchorId="32760947" wp14:editId="32760948">
            <wp:extent cx="8629650" cy="1183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29650" cy="11830050"/>
                    </a:xfrm>
                    <a:prstGeom prst="rect">
                      <a:avLst/>
                    </a:prstGeom>
                    <a:noFill/>
                    <a:ln>
                      <a:noFill/>
                    </a:ln>
                  </pic:spPr>
                </pic:pic>
              </a:graphicData>
            </a:graphic>
          </wp:inline>
        </w:drawing>
      </w:r>
    </w:p>
    <w:sectPr w:rsidR="00D27C7A" w:rsidRPr="00652B6D" w:rsidSect="00620E45">
      <w:headerReference w:type="default" r:id="rId20"/>
      <w:footerReference w:type="default" r:id="rId21"/>
      <w:pgSz w:w="16839" w:h="23814" w:code="8"/>
      <w:pgMar w:top="1440" w:right="128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D9" w:rsidRDefault="002729D9">
      <w:r>
        <w:separator/>
      </w:r>
    </w:p>
  </w:endnote>
  <w:endnote w:type="continuationSeparator" w:id="0">
    <w:p w:rsidR="002729D9" w:rsidRDefault="0027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NBBOE+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81" w:rsidRPr="00E126A8" w:rsidRDefault="002C5D3C" w:rsidP="009546AB">
    <w:pPr>
      <w:pStyle w:val="Footer"/>
      <w:tabs>
        <w:tab w:val="clear" w:pos="8505"/>
        <w:tab w:val="right" w:pos="14175"/>
      </w:tabs>
    </w:pPr>
    <w:r>
      <w:t>Quality Impact Assessment Policy</w:t>
    </w:r>
    <w:r w:rsidR="006D7E81" w:rsidRPr="00E126A8">
      <w:tab/>
    </w:r>
    <w:r w:rsidR="006D7E81" w:rsidRPr="00E126A8">
      <w:tab/>
      <w:t xml:space="preserve">Page </w:t>
    </w:r>
    <w:r w:rsidR="0083027B">
      <w:fldChar w:fldCharType="begin"/>
    </w:r>
    <w:r w:rsidR="0083027B">
      <w:instrText xml:space="preserve"> PAGE </w:instrText>
    </w:r>
    <w:r w:rsidR="0083027B">
      <w:fldChar w:fldCharType="separate"/>
    </w:r>
    <w:r w:rsidR="002402FD">
      <w:rPr>
        <w:noProof/>
      </w:rPr>
      <w:t>1</w:t>
    </w:r>
    <w:r w:rsidR="0083027B">
      <w:fldChar w:fldCharType="end"/>
    </w:r>
    <w:r w:rsidR="006D7E81" w:rsidRPr="00E126A8">
      <w:t xml:space="preserve"> of </w:t>
    </w:r>
    <w:fldSimple w:instr=" NUMPAGES ">
      <w:r w:rsidR="002402FD">
        <w:rPr>
          <w:noProof/>
        </w:rPr>
        <w:t>1</w:t>
      </w:r>
    </w:fldSimple>
  </w:p>
  <w:p w:rsidR="006D7E81" w:rsidRPr="00E126A8" w:rsidRDefault="006D7E81" w:rsidP="009546AB">
    <w:pPr>
      <w:pStyle w:val="Footer"/>
      <w:tabs>
        <w:tab w:val="clear" w:pos="8505"/>
        <w:tab w:val="right" w:pos="14175"/>
      </w:tabs>
    </w:pPr>
    <w:r w:rsidRPr="00E126A8">
      <w:tab/>
    </w:r>
    <w:r w:rsidRPr="00E126A8">
      <w:tab/>
      <w:t>© 201</w:t>
    </w:r>
    <w:r w:rsidR="008D3222">
      <w:t>8</w:t>
    </w:r>
    <w:r w:rsidRPr="00E126A8">
      <w:t xml:space="preserve"> Guy’s and St Thomas’ NHS Foundation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AB" w:rsidRPr="00E126A8" w:rsidRDefault="009546AB" w:rsidP="009546AB">
    <w:pPr>
      <w:pStyle w:val="Footer"/>
      <w:tabs>
        <w:tab w:val="clear" w:pos="8505"/>
        <w:tab w:val="right" w:pos="14175"/>
      </w:tabs>
    </w:pPr>
    <w:r>
      <w:t>Quality Impact Assessment Policy</w:t>
    </w:r>
    <w:r w:rsidRPr="00E126A8">
      <w:tab/>
    </w:r>
    <w:r w:rsidRPr="00E126A8">
      <w:tab/>
      <w:t xml:space="preserve">Page </w:t>
    </w:r>
    <w:r>
      <w:fldChar w:fldCharType="begin"/>
    </w:r>
    <w:r>
      <w:instrText xml:space="preserve"> PAGE </w:instrText>
    </w:r>
    <w:r>
      <w:fldChar w:fldCharType="separate"/>
    </w:r>
    <w:r w:rsidR="00B03888">
      <w:rPr>
        <w:noProof/>
      </w:rPr>
      <w:t>9</w:t>
    </w:r>
    <w:r>
      <w:rPr>
        <w:noProof/>
      </w:rPr>
      <w:fldChar w:fldCharType="end"/>
    </w:r>
    <w:r w:rsidRPr="00E126A8">
      <w:t xml:space="preserve"> of </w:t>
    </w:r>
    <w:fldSimple w:instr=" NUMPAGES ">
      <w:r w:rsidR="00B03888">
        <w:rPr>
          <w:noProof/>
        </w:rPr>
        <w:t>9</w:t>
      </w:r>
    </w:fldSimple>
  </w:p>
  <w:p w:rsidR="009546AB" w:rsidRPr="00E126A8" w:rsidRDefault="009546AB" w:rsidP="009546AB">
    <w:pPr>
      <w:pStyle w:val="Footer"/>
      <w:tabs>
        <w:tab w:val="clear" w:pos="8505"/>
        <w:tab w:val="right" w:pos="14175"/>
      </w:tabs>
    </w:pPr>
    <w:r w:rsidRPr="00E126A8">
      <w:tab/>
    </w:r>
    <w:r w:rsidRPr="00E126A8">
      <w:tab/>
      <w:t>© 201</w:t>
    </w:r>
    <w:r>
      <w:t>8</w:t>
    </w:r>
    <w:r w:rsidRPr="00E126A8">
      <w:t xml:space="preserve"> Guy’s and St Thomas’ NHS Foundation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D9" w:rsidRDefault="002729D9">
      <w:r>
        <w:separator/>
      </w:r>
    </w:p>
  </w:footnote>
  <w:footnote w:type="continuationSeparator" w:id="0">
    <w:p w:rsidR="002729D9" w:rsidRDefault="0027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FD" w:rsidRDefault="00112498" w:rsidP="00ED47FE">
    <w:pPr>
      <w:pStyle w:val="Header"/>
    </w:pPr>
    <w:r>
      <w:rPr>
        <w:noProof/>
        <w:lang w:eastAsia="en-GB"/>
      </w:rPr>
      <w:drawing>
        <wp:anchor distT="0" distB="0" distL="114300" distR="114300" simplePos="0" relativeHeight="251657728" behindDoc="1" locked="0" layoutInCell="1" allowOverlap="1" wp14:anchorId="3276095A" wp14:editId="3276095B">
          <wp:simplePos x="0" y="0"/>
          <wp:positionH relativeFrom="column">
            <wp:posOffset>3733800</wp:posOffset>
          </wp:positionH>
          <wp:positionV relativeFrom="paragraph">
            <wp:posOffset>-438150</wp:posOffset>
          </wp:positionV>
          <wp:extent cx="2984500" cy="1473200"/>
          <wp:effectExtent l="0" t="0" r="6350" b="0"/>
          <wp:wrapNone/>
          <wp:docPr id="2" name="Picture 2" descr="A4 Guy's and St Thomas'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Guy's and St Thomas'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1473200"/>
                  </a:xfrm>
                  <a:prstGeom prst="rect">
                    <a:avLst/>
                  </a:prstGeom>
                  <a:noFill/>
                </pic:spPr>
              </pic:pic>
            </a:graphicData>
          </a:graphic>
          <wp14:sizeRelH relativeFrom="page">
            <wp14:pctWidth>0</wp14:pctWidth>
          </wp14:sizeRelH>
          <wp14:sizeRelV relativeFrom="page">
            <wp14:pctHeight>0</wp14:pctHeight>
          </wp14:sizeRelV>
        </wp:anchor>
      </w:drawing>
    </w:r>
  </w:p>
  <w:p w:rsidR="006D7E81" w:rsidRPr="00E126A8" w:rsidRDefault="006D7E81" w:rsidP="00ED47FE">
    <w:pPr>
      <w:pStyle w:val="Header"/>
    </w:pPr>
  </w:p>
  <w:p w:rsidR="006D7E81" w:rsidRPr="00E126A8" w:rsidRDefault="006D7E81" w:rsidP="00ED47FE">
    <w:pPr>
      <w:pStyle w:val="Header"/>
    </w:pPr>
  </w:p>
  <w:p w:rsidR="006D7E81" w:rsidRPr="00E126A8" w:rsidRDefault="006D7E81" w:rsidP="00ED4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81" w:rsidRDefault="006D7E81" w:rsidP="00ED4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81" w:rsidRDefault="006D7E81" w:rsidP="00ED4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81" w:rsidRDefault="006D7E81" w:rsidP="00ED47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7A" w:rsidRDefault="00D27C7A" w:rsidP="00D27C7A">
    <w:pPr>
      <w:pStyle w:val="Header"/>
      <w:tabs>
        <w:tab w:val="clear" w:pos="4253"/>
        <w:tab w:val="clear" w:pos="8505"/>
        <w:tab w:val="left" w:pos="235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7A" w:rsidRDefault="00D27C7A" w:rsidP="00D27C7A">
    <w:pPr>
      <w:pStyle w:val="Header"/>
      <w:tabs>
        <w:tab w:val="clear" w:pos="4253"/>
        <w:tab w:val="clear" w:pos="8505"/>
        <w:tab w:val="left" w:pos="2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0E24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3287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9A1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00900F4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C6ACD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558561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18A900"/>
    <w:lvl w:ilvl="0">
      <w:start w:val="1"/>
      <w:numFmt w:val="bullet"/>
      <w:lvlText w:val=""/>
      <w:lvlJc w:val="left"/>
      <w:pPr>
        <w:ind w:left="644" w:hanging="360"/>
      </w:pPr>
      <w:rPr>
        <w:rFonts w:ascii="Wingdings" w:hAnsi="Wingdings" w:hint="default"/>
      </w:rPr>
    </w:lvl>
  </w:abstractNum>
  <w:abstractNum w:abstractNumId="7" w15:restartNumberingAfterBreak="0">
    <w:nsid w:val="FFFFFF88"/>
    <w:multiLevelType w:val="singleLevel"/>
    <w:tmpl w:val="24367F68"/>
    <w:lvl w:ilvl="0">
      <w:start w:val="1"/>
      <w:numFmt w:val="decimal"/>
      <w:lvlText w:val="%1."/>
      <w:lvlJc w:val="left"/>
      <w:pPr>
        <w:tabs>
          <w:tab w:val="num" w:pos="360"/>
        </w:tabs>
        <w:ind w:left="360" w:hanging="360"/>
      </w:pPr>
      <w:rPr>
        <w:rFonts w:hint="default"/>
        <w:b w:val="0"/>
        <w:i w:val="0"/>
      </w:rPr>
    </w:lvl>
  </w:abstractNum>
  <w:abstractNum w:abstractNumId="8" w15:restartNumberingAfterBreak="0">
    <w:nsid w:val="FFFFFF89"/>
    <w:multiLevelType w:val="singleLevel"/>
    <w:tmpl w:val="3ECEC0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536A5A6E"/>
    <w:lvl w:ilvl="0">
      <w:numFmt w:val="bullet"/>
      <w:lvlText w:val="*"/>
      <w:lvlJc w:val="left"/>
    </w:lvl>
  </w:abstractNum>
  <w:abstractNum w:abstractNumId="10" w15:restartNumberingAfterBreak="0">
    <w:nsid w:val="026810C7"/>
    <w:multiLevelType w:val="multilevel"/>
    <w:tmpl w:val="33B88E4E"/>
    <w:lvl w:ilvl="0">
      <w:start w:val="1"/>
      <w:numFmt w:val="decimal"/>
      <w:lvlText w:val="%1"/>
      <w:lvlJc w:val="left"/>
      <w:pPr>
        <w:tabs>
          <w:tab w:val="num" w:pos="432"/>
        </w:tabs>
        <w:ind w:left="432" w:hanging="432"/>
      </w:pPr>
      <w:rPr>
        <w:rFonts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4585ABA"/>
    <w:multiLevelType w:val="hybridMultilevel"/>
    <w:tmpl w:val="D6E8428E"/>
    <w:lvl w:ilvl="0" w:tplc="F588006E">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58D2487"/>
    <w:multiLevelType w:val="hybridMultilevel"/>
    <w:tmpl w:val="A538BD10"/>
    <w:lvl w:ilvl="0" w:tplc="08090001">
      <w:start w:val="1"/>
      <w:numFmt w:val="bullet"/>
      <w:lvlText w:val=""/>
      <w:lvlJc w:val="left"/>
      <w:pPr>
        <w:tabs>
          <w:tab w:val="num" w:pos="720"/>
        </w:tabs>
        <w:ind w:left="720" w:hanging="360"/>
      </w:pPr>
      <w:rPr>
        <w:rFonts w:ascii="Symbol" w:hAnsi="Symbol" w:hint="default"/>
      </w:rPr>
    </w:lvl>
    <w:lvl w:ilvl="1" w:tplc="ADD2E3F4">
      <w:start w:val="16"/>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04C97"/>
    <w:multiLevelType w:val="hybridMultilevel"/>
    <w:tmpl w:val="103405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BB42D15"/>
    <w:multiLevelType w:val="multilevel"/>
    <w:tmpl w:val="6562EBB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BDE797C"/>
    <w:multiLevelType w:val="hybridMultilevel"/>
    <w:tmpl w:val="CFE629F0"/>
    <w:lvl w:ilvl="0" w:tplc="A076789A">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0E5C204D"/>
    <w:multiLevelType w:val="multilevel"/>
    <w:tmpl w:val="186C34A0"/>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792728"/>
    <w:multiLevelType w:val="multilevel"/>
    <w:tmpl w:val="A644F556"/>
    <w:lvl w:ilvl="0">
      <w:start w:val="1"/>
      <w:numFmt w:val="decimal"/>
      <w:isLgl/>
      <w:lvlText w:val="%1."/>
      <w:lvlJc w:val="left"/>
      <w:pPr>
        <w:tabs>
          <w:tab w:val="num" w:pos="720"/>
        </w:tabs>
        <w:ind w:left="360" w:hanging="36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bullet"/>
      <w:lvlText w:val=""/>
      <w:lvlJc w:val="left"/>
      <w:pPr>
        <w:tabs>
          <w:tab w:val="num" w:pos="1440"/>
        </w:tabs>
        <w:ind w:left="1224" w:hanging="504"/>
      </w:pPr>
      <w:rPr>
        <w:rFonts w:ascii="Symbol" w:hAnsi="Symbol" w:hint="default"/>
        <w:b w:val="0"/>
        <w:i w:val="0"/>
        <w:color w:val="auto"/>
        <w:sz w:val="22"/>
        <w:szCs w:val="22"/>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CEB5C6E"/>
    <w:multiLevelType w:val="multilevel"/>
    <w:tmpl w:val="3E28CE26"/>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2A05A72"/>
    <w:multiLevelType w:val="hybridMultilevel"/>
    <w:tmpl w:val="69EC210C"/>
    <w:lvl w:ilvl="0" w:tplc="3C1453A8">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63524"/>
    <w:multiLevelType w:val="multilevel"/>
    <w:tmpl w:val="4F7220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9C356F"/>
    <w:multiLevelType w:val="hybridMultilevel"/>
    <w:tmpl w:val="F56E377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A06F77"/>
    <w:multiLevelType w:val="hybridMultilevel"/>
    <w:tmpl w:val="D1BA6766"/>
    <w:lvl w:ilvl="0" w:tplc="D4AC8000">
      <w:start w:val="1"/>
      <w:numFmt w:val="bullet"/>
      <w:lvlText w:val=""/>
      <w:lvlJc w:val="left"/>
      <w:pPr>
        <w:tabs>
          <w:tab w:val="num" w:pos="720"/>
        </w:tabs>
        <w:ind w:left="720" w:hanging="360"/>
      </w:pPr>
      <w:rPr>
        <w:rFonts w:ascii="Wingdings" w:hAnsi="Wingdings" w:hint="default"/>
      </w:rPr>
    </w:lvl>
    <w:lvl w:ilvl="1" w:tplc="D4AC800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46DE9"/>
    <w:multiLevelType w:val="hybridMultilevel"/>
    <w:tmpl w:val="A3AA61D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B0BE9"/>
    <w:multiLevelType w:val="multilevel"/>
    <w:tmpl w:val="7AE079F6"/>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48037FD"/>
    <w:multiLevelType w:val="hybridMultilevel"/>
    <w:tmpl w:val="187215F0"/>
    <w:lvl w:ilvl="0" w:tplc="0E0A07B6">
      <w:start w:val="1"/>
      <w:numFmt w:val="bullet"/>
      <w:pStyle w:val="ListBullet2"/>
      <w:lvlText w:val="-"/>
      <w:lvlJc w:val="left"/>
      <w:pPr>
        <w:tabs>
          <w:tab w:val="num" w:pos="646"/>
        </w:tabs>
        <w:ind w:left="644"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05296"/>
    <w:multiLevelType w:val="hybridMultilevel"/>
    <w:tmpl w:val="7C82E674"/>
    <w:lvl w:ilvl="0" w:tplc="8F808A1C">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61F78"/>
    <w:multiLevelType w:val="hybridMultilevel"/>
    <w:tmpl w:val="FE74380E"/>
    <w:lvl w:ilvl="0" w:tplc="F588006E">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BB92FEE"/>
    <w:multiLevelType w:val="hybridMultilevel"/>
    <w:tmpl w:val="E25468E2"/>
    <w:lvl w:ilvl="0" w:tplc="3ECEC0A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77AF6"/>
    <w:multiLevelType w:val="hybridMultilevel"/>
    <w:tmpl w:val="F6EC79E6"/>
    <w:lvl w:ilvl="0" w:tplc="10723EB8">
      <w:start w:val="1"/>
      <w:numFmt w:val="bullet"/>
      <w:lvlText w:val="•"/>
      <w:lvlJc w:val="left"/>
      <w:pPr>
        <w:tabs>
          <w:tab w:val="num" w:pos="720"/>
        </w:tabs>
        <w:ind w:left="720" w:hanging="360"/>
      </w:pPr>
      <w:rPr>
        <w:rFonts w:ascii="Times New Roman" w:hAnsi="Times New Roman" w:hint="default"/>
      </w:rPr>
    </w:lvl>
    <w:lvl w:ilvl="1" w:tplc="A7D424F6" w:tentative="1">
      <w:start w:val="1"/>
      <w:numFmt w:val="bullet"/>
      <w:lvlText w:val="•"/>
      <w:lvlJc w:val="left"/>
      <w:pPr>
        <w:tabs>
          <w:tab w:val="num" w:pos="1440"/>
        </w:tabs>
        <w:ind w:left="1440" w:hanging="360"/>
      </w:pPr>
      <w:rPr>
        <w:rFonts w:ascii="Times New Roman" w:hAnsi="Times New Roman" w:hint="default"/>
      </w:rPr>
    </w:lvl>
    <w:lvl w:ilvl="2" w:tplc="5652DE68" w:tentative="1">
      <w:start w:val="1"/>
      <w:numFmt w:val="bullet"/>
      <w:lvlText w:val="•"/>
      <w:lvlJc w:val="left"/>
      <w:pPr>
        <w:tabs>
          <w:tab w:val="num" w:pos="2160"/>
        </w:tabs>
        <w:ind w:left="2160" w:hanging="360"/>
      </w:pPr>
      <w:rPr>
        <w:rFonts w:ascii="Times New Roman" w:hAnsi="Times New Roman" w:hint="default"/>
      </w:rPr>
    </w:lvl>
    <w:lvl w:ilvl="3" w:tplc="D87A7032" w:tentative="1">
      <w:start w:val="1"/>
      <w:numFmt w:val="bullet"/>
      <w:lvlText w:val="•"/>
      <w:lvlJc w:val="left"/>
      <w:pPr>
        <w:tabs>
          <w:tab w:val="num" w:pos="2880"/>
        </w:tabs>
        <w:ind w:left="2880" w:hanging="360"/>
      </w:pPr>
      <w:rPr>
        <w:rFonts w:ascii="Times New Roman" w:hAnsi="Times New Roman" w:hint="default"/>
      </w:rPr>
    </w:lvl>
    <w:lvl w:ilvl="4" w:tplc="B8E6DB98" w:tentative="1">
      <w:start w:val="1"/>
      <w:numFmt w:val="bullet"/>
      <w:lvlText w:val="•"/>
      <w:lvlJc w:val="left"/>
      <w:pPr>
        <w:tabs>
          <w:tab w:val="num" w:pos="3600"/>
        </w:tabs>
        <w:ind w:left="3600" w:hanging="360"/>
      </w:pPr>
      <w:rPr>
        <w:rFonts w:ascii="Times New Roman" w:hAnsi="Times New Roman" w:hint="default"/>
      </w:rPr>
    </w:lvl>
    <w:lvl w:ilvl="5" w:tplc="D6E83402" w:tentative="1">
      <w:start w:val="1"/>
      <w:numFmt w:val="bullet"/>
      <w:lvlText w:val="•"/>
      <w:lvlJc w:val="left"/>
      <w:pPr>
        <w:tabs>
          <w:tab w:val="num" w:pos="4320"/>
        </w:tabs>
        <w:ind w:left="4320" w:hanging="360"/>
      </w:pPr>
      <w:rPr>
        <w:rFonts w:ascii="Times New Roman" w:hAnsi="Times New Roman" w:hint="default"/>
      </w:rPr>
    </w:lvl>
    <w:lvl w:ilvl="6" w:tplc="8D8EF748" w:tentative="1">
      <w:start w:val="1"/>
      <w:numFmt w:val="bullet"/>
      <w:lvlText w:val="•"/>
      <w:lvlJc w:val="left"/>
      <w:pPr>
        <w:tabs>
          <w:tab w:val="num" w:pos="5040"/>
        </w:tabs>
        <w:ind w:left="5040" w:hanging="360"/>
      </w:pPr>
      <w:rPr>
        <w:rFonts w:ascii="Times New Roman" w:hAnsi="Times New Roman" w:hint="default"/>
      </w:rPr>
    </w:lvl>
    <w:lvl w:ilvl="7" w:tplc="138E88EA" w:tentative="1">
      <w:start w:val="1"/>
      <w:numFmt w:val="bullet"/>
      <w:lvlText w:val="•"/>
      <w:lvlJc w:val="left"/>
      <w:pPr>
        <w:tabs>
          <w:tab w:val="num" w:pos="5760"/>
        </w:tabs>
        <w:ind w:left="5760" w:hanging="360"/>
      </w:pPr>
      <w:rPr>
        <w:rFonts w:ascii="Times New Roman" w:hAnsi="Times New Roman" w:hint="default"/>
      </w:rPr>
    </w:lvl>
    <w:lvl w:ilvl="8" w:tplc="036EDE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823D2D"/>
    <w:multiLevelType w:val="hybridMultilevel"/>
    <w:tmpl w:val="CC568FE0"/>
    <w:lvl w:ilvl="0" w:tplc="8904E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62B46"/>
    <w:multiLevelType w:val="multilevel"/>
    <w:tmpl w:val="3790F01C"/>
    <w:lvl w:ilvl="0">
      <w:start w:val="1"/>
      <w:numFmt w:val="decimal"/>
      <w:lvlText w:val="5.%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F76F6B"/>
    <w:multiLevelType w:val="multilevel"/>
    <w:tmpl w:val="4F7220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B2370AD"/>
    <w:multiLevelType w:val="multilevel"/>
    <w:tmpl w:val="EA20582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2CE1E56"/>
    <w:multiLevelType w:val="hybridMultilevel"/>
    <w:tmpl w:val="F6FCD470"/>
    <w:lvl w:ilvl="0" w:tplc="8F808A1C">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B192C"/>
    <w:multiLevelType w:val="hybridMultilevel"/>
    <w:tmpl w:val="F04C34B8"/>
    <w:lvl w:ilvl="0" w:tplc="FFFFFFFF">
      <w:start w:val="1"/>
      <w:numFmt w:val="bullet"/>
      <w:lvlText w:val=""/>
      <w:lvlJc w:val="left"/>
      <w:pPr>
        <w:tabs>
          <w:tab w:val="num" w:pos="1429"/>
        </w:tabs>
        <w:ind w:left="1429" w:hanging="360"/>
      </w:pPr>
      <w:rPr>
        <w:rFonts w:ascii="Symbol" w:hAnsi="Symbol" w:hint="default"/>
      </w:rPr>
    </w:lvl>
    <w:lvl w:ilvl="1" w:tplc="C17A0096">
      <w:start w:val="6"/>
      <w:numFmt w:val="bullet"/>
      <w:lvlText w:val="-"/>
      <w:lvlJc w:val="left"/>
      <w:pPr>
        <w:tabs>
          <w:tab w:val="num" w:pos="2149"/>
        </w:tabs>
        <w:ind w:left="2149" w:hanging="360"/>
      </w:pPr>
      <w:rPr>
        <w:rFonts w:ascii="LNBBOE+Arial" w:eastAsia="Times New Roman" w:hAnsi="LNBBOE+Arial" w:cs="LNBBOE+Aria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7FD66D5"/>
    <w:multiLevelType w:val="multilevel"/>
    <w:tmpl w:val="4F7220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3"/>
  </w:num>
  <w:num w:numId="6">
    <w:abstractNumId w:val="6"/>
  </w:num>
  <w:num w:numId="7">
    <w:abstractNumId w:val="20"/>
  </w:num>
  <w:num w:numId="8">
    <w:abstractNumId w:val="36"/>
  </w:num>
  <w:num w:numId="9">
    <w:abstractNumId w:val="5"/>
  </w:num>
  <w:num w:numId="10">
    <w:abstractNumId w:val="4"/>
  </w:num>
  <w:num w:numId="11">
    <w:abstractNumId w:val="3"/>
  </w:num>
  <w:num w:numId="12">
    <w:abstractNumId w:val="18"/>
  </w:num>
  <w:num w:numId="13">
    <w:abstractNumId w:val="2"/>
  </w:num>
  <w:num w:numId="14">
    <w:abstractNumId w:val="1"/>
  </w:num>
  <w:num w:numId="15">
    <w:abstractNumId w:val="0"/>
  </w:num>
  <w:num w:numId="16">
    <w:abstractNumId w:val="2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lvlOverride w:ilvl="0">
      <w:lvl w:ilvl="0">
        <w:numFmt w:val="bullet"/>
        <w:lvlText w:val="•"/>
        <w:legacy w:legacy="1" w:legacySpace="0" w:legacyIndent="0"/>
        <w:lvlJc w:val="left"/>
        <w:rPr>
          <w:rFonts w:ascii="Arial" w:hAnsi="Arial" w:hint="default"/>
          <w:sz w:val="26"/>
        </w:rPr>
      </w:lvl>
    </w:lvlOverride>
  </w:num>
  <w:num w:numId="20">
    <w:abstractNumId w:val="11"/>
  </w:num>
  <w:num w:numId="21">
    <w:abstractNumId w:val="27"/>
  </w:num>
  <w:num w:numId="22">
    <w:abstractNumId w:val="15"/>
  </w:num>
  <w:num w:numId="23">
    <w:abstractNumId w:val="29"/>
  </w:num>
  <w:num w:numId="24">
    <w:abstractNumId w:val="32"/>
  </w:num>
  <w:num w:numId="25">
    <w:abstractNumId w:val="12"/>
  </w:num>
  <w:num w:numId="26">
    <w:abstractNumId w:val="13"/>
  </w:num>
  <w:num w:numId="27">
    <w:abstractNumId w:val="35"/>
  </w:num>
  <w:num w:numId="28">
    <w:abstractNumId w:val="21"/>
  </w:num>
  <w:num w:numId="29">
    <w:abstractNumId w:val="16"/>
  </w:num>
  <w:num w:numId="30">
    <w:abstractNumId w:val="22"/>
  </w:num>
  <w:num w:numId="31">
    <w:abstractNumId w:val="23"/>
  </w:num>
  <w:num w:numId="32">
    <w:abstractNumId w:val="26"/>
  </w:num>
  <w:num w:numId="33">
    <w:abstractNumId w:val="34"/>
  </w:num>
  <w:num w:numId="34">
    <w:abstractNumId w:val="31"/>
  </w:num>
  <w:num w:numId="35">
    <w:abstractNumId w:val="10"/>
  </w:num>
  <w:num w:numId="36">
    <w:abstractNumId w:val="17"/>
  </w:num>
  <w:num w:numId="37">
    <w:abstractNumId w:val="28"/>
  </w:num>
  <w:num w:numId="38">
    <w:abstractNumId w:val="33"/>
  </w:num>
  <w:num w:numId="39">
    <w:abstractNumId w:val="33"/>
  </w:num>
  <w:num w:numId="40">
    <w:abstractNumId w:val="30"/>
  </w:num>
  <w:num w:numId="41">
    <w:abstractNumId w:val="19"/>
  </w:num>
  <w:num w:numId="42">
    <w:abstractNumId w:val="25"/>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formatting="1" w:enforcement="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FB"/>
    <w:rsid w:val="00011531"/>
    <w:rsid w:val="000219B9"/>
    <w:rsid w:val="00023492"/>
    <w:rsid w:val="00023EBB"/>
    <w:rsid w:val="0002549D"/>
    <w:rsid w:val="0002799B"/>
    <w:rsid w:val="0003061B"/>
    <w:rsid w:val="0004371B"/>
    <w:rsid w:val="00051443"/>
    <w:rsid w:val="00053180"/>
    <w:rsid w:val="00066DD7"/>
    <w:rsid w:val="00071FCA"/>
    <w:rsid w:val="000771FB"/>
    <w:rsid w:val="00077EA3"/>
    <w:rsid w:val="00091416"/>
    <w:rsid w:val="00094851"/>
    <w:rsid w:val="000A2275"/>
    <w:rsid w:val="000C2D37"/>
    <w:rsid w:val="000C3404"/>
    <w:rsid w:val="000C6752"/>
    <w:rsid w:val="000D0735"/>
    <w:rsid w:val="000D2644"/>
    <w:rsid w:val="000E0CB2"/>
    <w:rsid w:val="000E42CF"/>
    <w:rsid w:val="000E4742"/>
    <w:rsid w:val="000F5531"/>
    <w:rsid w:val="00112498"/>
    <w:rsid w:val="00117B73"/>
    <w:rsid w:val="0012305B"/>
    <w:rsid w:val="00123429"/>
    <w:rsid w:val="00125D9E"/>
    <w:rsid w:val="001379C3"/>
    <w:rsid w:val="00143CA6"/>
    <w:rsid w:val="00145132"/>
    <w:rsid w:val="0014776C"/>
    <w:rsid w:val="00150426"/>
    <w:rsid w:val="00153D44"/>
    <w:rsid w:val="001552A0"/>
    <w:rsid w:val="00163A61"/>
    <w:rsid w:val="00163D16"/>
    <w:rsid w:val="00166B7A"/>
    <w:rsid w:val="00171A92"/>
    <w:rsid w:val="001740B2"/>
    <w:rsid w:val="0018131B"/>
    <w:rsid w:val="0018526D"/>
    <w:rsid w:val="001927E5"/>
    <w:rsid w:val="001A2952"/>
    <w:rsid w:val="001B1532"/>
    <w:rsid w:val="001B2548"/>
    <w:rsid w:val="001C52C3"/>
    <w:rsid w:val="001C57EF"/>
    <w:rsid w:val="001D07F0"/>
    <w:rsid w:val="001D142A"/>
    <w:rsid w:val="001D2328"/>
    <w:rsid w:val="001E3BA3"/>
    <w:rsid w:val="001F009B"/>
    <w:rsid w:val="001F025F"/>
    <w:rsid w:val="001F2982"/>
    <w:rsid w:val="001F521C"/>
    <w:rsid w:val="002075A5"/>
    <w:rsid w:val="00215519"/>
    <w:rsid w:val="00217FF8"/>
    <w:rsid w:val="0022114E"/>
    <w:rsid w:val="00223C6F"/>
    <w:rsid w:val="00226874"/>
    <w:rsid w:val="00233C63"/>
    <w:rsid w:val="002402FD"/>
    <w:rsid w:val="0025273D"/>
    <w:rsid w:val="00264193"/>
    <w:rsid w:val="00266174"/>
    <w:rsid w:val="002729D9"/>
    <w:rsid w:val="00273E86"/>
    <w:rsid w:val="00286875"/>
    <w:rsid w:val="002A3A51"/>
    <w:rsid w:val="002A5B78"/>
    <w:rsid w:val="002A65FA"/>
    <w:rsid w:val="002B45AA"/>
    <w:rsid w:val="002B57B4"/>
    <w:rsid w:val="002B64B4"/>
    <w:rsid w:val="002C5BB5"/>
    <w:rsid w:val="002C5D3C"/>
    <w:rsid w:val="002D1E45"/>
    <w:rsid w:val="002D416E"/>
    <w:rsid w:val="002E20EF"/>
    <w:rsid w:val="002E2E5E"/>
    <w:rsid w:val="002E33CC"/>
    <w:rsid w:val="002E5344"/>
    <w:rsid w:val="002E68FD"/>
    <w:rsid w:val="002E6FA5"/>
    <w:rsid w:val="002F02AC"/>
    <w:rsid w:val="002F1D8B"/>
    <w:rsid w:val="002F5BE2"/>
    <w:rsid w:val="002F6C28"/>
    <w:rsid w:val="00304040"/>
    <w:rsid w:val="00306C2F"/>
    <w:rsid w:val="00307024"/>
    <w:rsid w:val="00310FC0"/>
    <w:rsid w:val="00313577"/>
    <w:rsid w:val="003139DD"/>
    <w:rsid w:val="00315F15"/>
    <w:rsid w:val="00317E1C"/>
    <w:rsid w:val="00323B7F"/>
    <w:rsid w:val="003256BD"/>
    <w:rsid w:val="00333E18"/>
    <w:rsid w:val="003640D1"/>
    <w:rsid w:val="00370E4D"/>
    <w:rsid w:val="00371932"/>
    <w:rsid w:val="00397D6F"/>
    <w:rsid w:val="003A77A3"/>
    <w:rsid w:val="003B085D"/>
    <w:rsid w:val="003B4529"/>
    <w:rsid w:val="003C577D"/>
    <w:rsid w:val="003D1A7B"/>
    <w:rsid w:val="003D219D"/>
    <w:rsid w:val="003D2E6C"/>
    <w:rsid w:val="003D3C6E"/>
    <w:rsid w:val="003E5277"/>
    <w:rsid w:val="004074D6"/>
    <w:rsid w:val="00412E3D"/>
    <w:rsid w:val="00413E21"/>
    <w:rsid w:val="0041481D"/>
    <w:rsid w:val="00417C42"/>
    <w:rsid w:val="0042019F"/>
    <w:rsid w:val="00433310"/>
    <w:rsid w:val="00441318"/>
    <w:rsid w:val="004460B8"/>
    <w:rsid w:val="00446E43"/>
    <w:rsid w:val="00465522"/>
    <w:rsid w:val="00465926"/>
    <w:rsid w:val="00472550"/>
    <w:rsid w:val="0047331C"/>
    <w:rsid w:val="004768CD"/>
    <w:rsid w:val="004953E2"/>
    <w:rsid w:val="004A24C1"/>
    <w:rsid w:val="004A24DE"/>
    <w:rsid w:val="004A3569"/>
    <w:rsid w:val="004A6A32"/>
    <w:rsid w:val="004A725E"/>
    <w:rsid w:val="004B3C99"/>
    <w:rsid w:val="004B6267"/>
    <w:rsid w:val="004C7620"/>
    <w:rsid w:val="004D30E3"/>
    <w:rsid w:val="004F53CD"/>
    <w:rsid w:val="004F6146"/>
    <w:rsid w:val="00502148"/>
    <w:rsid w:val="00505525"/>
    <w:rsid w:val="00507362"/>
    <w:rsid w:val="00512393"/>
    <w:rsid w:val="0052230A"/>
    <w:rsid w:val="005302CC"/>
    <w:rsid w:val="00545CFF"/>
    <w:rsid w:val="00546BBD"/>
    <w:rsid w:val="00555565"/>
    <w:rsid w:val="00560731"/>
    <w:rsid w:val="0056747B"/>
    <w:rsid w:val="00583B1D"/>
    <w:rsid w:val="00585A8E"/>
    <w:rsid w:val="00586016"/>
    <w:rsid w:val="00595488"/>
    <w:rsid w:val="00595572"/>
    <w:rsid w:val="005A0D98"/>
    <w:rsid w:val="005A7983"/>
    <w:rsid w:val="005D1B62"/>
    <w:rsid w:val="005D1DEC"/>
    <w:rsid w:val="005F1A14"/>
    <w:rsid w:val="005F3EEB"/>
    <w:rsid w:val="006010D8"/>
    <w:rsid w:val="0060460D"/>
    <w:rsid w:val="00620A34"/>
    <w:rsid w:val="00620E45"/>
    <w:rsid w:val="00632A95"/>
    <w:rsid w:val="00635422"/>
    <w:rsid w:val="00652B6D"/>
    <w:rsid w:val="00661876"/>
    <w:rsid w:val="0066691C"/>
    <w:rsid w:val="0067367D"/>
    <w:rsid w:val="00675814"/>
    <w:rsid w:val="006773E7"/>
    <w:rsid w:val="0068263E"/>
    <w:rsid w:val="00692D27"/>
    <w:rsid w:val="006961F6"/>
    <w:rsid w:val="0069630A"/>
    <w:rsid w:val="00696FFC"/>
    <w:rsid w:val="006A3AF4"/>
    <w:rsid w:val="006B725A"/>
    <w:rsid w:val="006C1CE6"/>
    <w:rsid w:val="006C4005"/>
    <w:rsid w:val="006C4DDF"/>
    <w:rsid w:val="006D5C23"/>
    <w:rsid w:val="006D7E81"/>
    <w:rsid w:val="006E366A"/>
    <w:rsid w:val="006E43E2"/>
    <w:rsid w:val="006F0814"/>
    <w:rsid w:val="006F2AD4"/>
    <w:rsid w:val="006F6F0B"/>
    <w:rsid w:val="006F7A5E"/>
    <w:rsid w:val="00701DEC"/>
    <w:rsid w:val="0070266A"/>
    <w:rsid w:val="00702C29"/>
    <w:rsid w:val="00706173"/>
    <w:rsid w:val="007144C3"/>
    <w:rsid w:val="007222A4"/>
    <w:rsid w:val="00723768"/>
    <w:rsid w:val="007307D9"/>
    <w:rsid w:val="007336AB"/>
    <w:rsid w:val="00737164"/>
    <w:rsid w:val="00750322"/>
    <w:rsid w:val="00750741"/>
    <w:rsid w:val="00764B05"/>
    <w:rsid w:val="007725AF"/>
    <w:rsid w:val="00776344"/>
    <w:rsid w:val="007776A1"/>
    <w:rsid w:val="007928FB"/>
    <w:rsid w:val="00794EDE"/>
    <w:rsid w:val="007967F5"/>
    <w:rsid w:val="007A0AC2"/>
    <w:rsid w:val="007C60AD"/>
    <w:rsid w:val="007C673C"/>
    <w:rsid w:val="007C72BB"/>
    <w:rsid w:val="007C7793"/>
    <w:rsid w:val="007D709E"/>
    <w:rsid w:val="007E4858"/>
    <w:rsid w:val="007F0D87"/>
    <w:rsid w:val="007F2F84"/>
    <w:rsid w:val="007F312C"/>
    <w:rsid w:val="00800E60"/>
    <w:rsid w:val="008204BB"/>
    <w:rsid w:val="00822DF0"/>
    <w:rsid w:val="0083027B"/>
    <w:rsid w:val="00834B00"/>
    <w:rsid w:val="00841DCC"/>
    <w:rsid w:val="00843507"/>
    <w:rsid w:val="00845271"/>
    <w:rsid w:val="00851876"/>
    <w:rsid w:val="00853BFF"/>
    <w:rsid w:val="00853FF0"/>
    <w:rsid w:val="00870D52"/>
    <w:rsid w:val="00876812"/>
    <w:rsid w:val="00880CD9"/>
    <w:rsid w:val="008810FF"/>
    <w:rsid w:val="00895685"/>
    <w:rsid w:val="008959C5"/>
    <w:rsid w:val="008A1E50"/>
    <w:rsid w:val="008B086A"/>
    <w:rsid w:val="008B13CD"/>
    <w:rsid w:val="008B5318"/>
    <w:rsid w:val="008B5484"/>
    <w:rsid w:val="008B5D1F"/>
    <w:rsid w:val="008C0A45"/>
    <w:rsid w:val="008C7E69"/>
    <w:rsid w:val="008D1D73"/>
    <w:rsid w:val="008D3222"/>
    <w:rsid w:val="008D49CE"/>
    <w:rsid w:val="008D53A0"/>
    <w:rsid w:val="008D7562"/>
    <w:rsid w:val="008E3912"/>
    <w:rsid w:val="008E79B5"/>
    <w:rsid w:val="008F3DF6"/>
    <w:rsid w:val="00911150"/>
    <w:rsid w:val="00913CCD"/>
    <w:rsid w:val="0092265E"/>
    <w:rsid w:val="00927DAD"/>
    <w:rsid w:val="00931CBC"/>
    <w:rsid w:val="0093681B"/>
    <w:rsid w:val="009546AB"/>
    <w:rsid w:val="0095497C"/>
    <w:rsid w:val="00961D47"/>
    <w:rsid w:val="0096516C"/>
    <w:rsid w:val="00966DB0"/>
    <w:rsid w:val="00970585"/>
    <w:rsid w:val="00974EAD"/>
    <w:rsid w:val="00975546"/>
    <w:rsid w:val="00980A4E"/>
    <w:rsid w:val="0098374C"/>
    <w:rsid w:val="00986B44"/>
    <w:rsid w:val="009933C9"/>
    <w:rsid w:val="009A19E0"/>
    <w:rsid w:val="009A4F13"/>
    <w:rsid w:val="009A662E"/>
    <w:rsid w:val="009A7A4E"/>
    <w:rsid w:val="009B14E7"/>
    <w:rsid w:val="009B340B"/>
    <w:rsid w:val="009B56A8"/>
    <w:rsid w:val="009E264B"/>
    <w:rsid w:val="00A156D1"/>
    <w:rsid w:val="00A32156"/>
    <w:rsid w:val="00A34911"/>
    <w:rsid w:val="00A419DE"/>
    <w:rsid w:val="00A421A1"/>
    <w:rsid w:val="00A43F8F"/>
    <w:rsid w:val="00A444F6"/>
    <w:rsid w:val="00A4664F"/>
    <w:rsid w:val="00A50357"/>
    <w:rsid w:val="00A5108B"/>
    <w:rsid w:val="00A53801"/>
    <w:rsid w:val="00A66B77"/>
    <w:rsid w:val="00A700C9"/>
    <w:rsid w:val="00A70FC7"/>
    <w:rsid w:val="00A74F3C"/>
    <w:rsid w:val="00A8063E"/>
    <w:rsid w:val="00A82CB4"/>
    <w:rsid w:val="00A9437E"/>
    <w:rsid w:val="00AA5FBB"/>
    <w:rsid w:val="00AB0C27"/>
    <w:rsid w:val="00AB2C7E"/>
    <w:rsid w:val="00AB7798"/>
    <w:rsid w:val="00AC3566"/>
    <w:rsid w:val="00AD0AFA"/>
    <w:rsid w:val="00AD5304"/>
    <w:rsid w:val="00AE13AC"/>
    <w:rsid w:val="00AE7FDA"/>
    <w:rsid w:val="00AF418D"/>
    <w:rsid w:val="00B0245B"/>
    <w:rsid w:val="00B03888"/>
    <w:rsid w:val="00B04196"/>
    <w:rsid w:val="00B108FF"/>
    <w:rsid w:val="00B12205"/>
    <w:rsid w:val="00B13A51"/>
    <w:rsid w:val="00B14CF5"/>
    <w:rsid w:val="00B208D2"/>
    <w:rsid w:val="00B23FDD"/>
    <w:rsid w:val="00B25056"/>
    <w:rsid w:val="00B34C20"/>
    <w:rsid w:val="00B436D1"/>
    <w:rsid w:val="00B44940"/>
    <w:rsid w:val="00B44FC2"/>
    <w:rsid w:val="00B561CC"/>
    <w:rsid w:val="00B6075F"/>
    <w:rsid w:val="00B67B65"/>
    <w:rsid w:val="00B70CA4"/>
    <w:rsid w:val="00BA25AE"/>
    <w:rsid w:val="00BA47FB"/>
    <w:rsid w:val="00BA65D8"/>
    <w:rsid w:val="00BB20EA"/>
    <w:rsid w:val="00BC05BE"/>
    <w:rsid w:val="00BC157B"/>
    <w:rsid w:val="00BD259C"/>
    <w:rsid w:val="00BD3A0C"/>
    <w:rsid w:val="00BE132C"/>
    <w:rsid w:val="00BE6786"/>
    <w:rsid w:val="00BE6C08"/>
    <w:rsid w:val="00BF271D"/>
    <w:rsid w:val="00BF3F3A"/>
    <w:rsid w:val="00C00CFB"/>
    <w:rsid w:val="00C179FC"/>
    <w:rsid w:val="00C23C10"/>
    <w:rsid w:val="00C27289"/>
    <w:rsid w:val="00C44D87"/>
    <w:rsid w:val="00C551FF"/>
    <w:rsid w:val="00C56ABD"/>
    <w:rsid w:val="00C64EED"/>
    <w:rsid w:val="00C659C2"/>
    <w:rsid w:val="00C7028D"/>
    <w:rsid w:val="00C709D3"/>
    <w:rsid w:val="00C74278"/>
    <w:rsid w:val="00C7435C"/>
    <w:rsid w:val="00C76107"/>
    <w:rsid w:val="00C77389"/>
    <w:rsid w:val="00C778F9"/>
    <w:rsid w:val="00C83D7F"/>
    <w:rsid w:val="00C846F9"/>
    <w:rsid w:val="00C96B45"/>
    <w:rsid w:val="00CA0EC0"/>
    <w:rsid w:val="00CA17B7"/>
    <w:rsid w:val="00CA6263"/>
    <w:rsid w:val="00CB1C9F"/>
    <w:rsid w:val="00CC033A"/>
    <w:rsid w:val="00CC0580"/>
    <w:rsid w:val="00CC09CA"/>
    <w:rsid w:val="00CC1A25"/>
    <w:rsid w:val="00CD1D48"/>
    <w:rsid w:val="00CD20E4"/>
    <w:rsid w:val="00CD49FD"/>
    <w:rsid w:val="00CE0E38"/>
    <w:rsid w:val="00D011EB"/>
    <w:rsid w:val="00D02C58"/>
    <w:rsid w:val="00D13BA7"/>
    <w:rsid w:val="00D15823"/>
    <w:rsid w:val="00D212BE"/>
    <w:rsid w:val="00D25651"/>
    <w:rsid w:val="00D27C7A"/>
    <w:rsid w:val="00D3335A"/>
    <w:rsid w:val="00D402BC"/>
    <w:rsid w:val="00D40EB3"/>
    <w:rsid w:val="00D469C5"/>
    <w:rsid w:val="00D503DD"/>
    <w:rsid w:val="00D50BF6"/>
    <w:rsid w:val="00D52DD5"/>
    <w:rsid w:val="00D600C4"/>
    <w:rsid w:val="00D60327"/>
    <w:rsid w:val="00D63F8E"/>
    <w:rsid w:val="00D806F3"/>
    <w:rsid w:val="00D90D03"/>
    <w:rsid w:val="00D92F30"/>
    <w:rsid w:val="00D97C63"/>
    <w:rsid w:val="00DB5B61"/>
    <w:rsid w:val="00DB705B"/>
    <w:rsid w:val="00DC1F9E"/>
    <w:rsid w:val="00DD64BE"/>
    <w:rsid w:val="00DD7577"/>
    <w:rsid w:val="00DF28C5"/>
    <w:rsid w:val="00DF3B61"/>
    <w:rsid w:val="00E009B3"/>
    <w:rsid w:val="00E01DF4"/>
    <w:rsid w:val="00E10A30"/>
    <w:rsid w:val="00E126A8"/>
    <w:rsid w:val="00E2521E"/>
    <w:rsid w:val="00E27AD6"/>
    <w:rsid w:val="00E369BF"/>
    <w:rsid w:val="00E37D43"/>
    <w:rsid w:val="00E678F9"/>
    <w:rsid w:val="00E7292F"/>
    <w:rsid w:val="00E850C9"/>
    <w:rsid w:val="00E85182"/>
    <w:rsid w:val="00E91D5D"/>
    <w:rsid w:val="00EB1049"/>
    <w:rsid w:val="00EB6ED4"/>
    <w:rsid w:val="00EC5F0F"/>
    <w:rsid w:val="00ED1355"/>
    <w:rsid w:val="00ED2DBB"/>
    <w:rsid w:val="00ED47FE"/>
    <w:rsid w:val="00EE0FFF"/>
    <w:rsid w:val="00EF13C4"/>
    <w:rsid w:val="00EF4A78"/>
    <w:rsid w:val="00F013CC"/>
    <w:rsid w:val="00F02532"/>
    <w:rsid w:val="00F07EDD"/>
    <w:rsid w:val="00F1039B"/>
    <w:rsid w:val="00F1190D"/>
    <w:rsid w:val="00F20020"/>
    <w:rsid w:val="00F2392A"/>
    <w:rsid w:val="00F32D07"/>
    <w:rsid w:val="00F37BB2"/>
    <w:rsid w:val="00F43DC9"/>
    <w:rsid w:val="00F47880"/>
    <w:rsid w:val="00F47A88"/>
    <w:rsid w:val="00F525CB"/>
    <w:rsid w:val="00F652D2"/>
    <w:rsid w:val="00F66E91"/>
    <w:rsid w:val="00F713D0"/>
    <w:rsid w:val="00F71A90"/>
    <w:rsid w:val="00F76FE0"/>
    <w:rsid w:val="00F82B35"/>
    <w:rsid w:val="00F96162"/>
    <w:rsid w:val="00F969B9"/>
    <w:rsid w:val="00FA2829"/>
    <w:rsid w:val="00FB3024"/>
    <w:rsid w:val="00FB3113"/>
    <w:rsid w:val="00FD3D85"/>
    <w:rsid w:val="00FD5742"/>
    <w:rsid w:val="00FD6099"/>
    <w:rsid w:val="00FE3AF9"/>
    <w:rsid w:val="00FE5BDB"/>
    <w:rsid w:val="00FF331C"/>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32760804"/>
  <w15:docId w15:val="{557D63A1-58C5-40F8-BD72-E93B5C18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qFormat="1"/>
    <w:lsdException w:name="heading 4" w:locked="0"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C7793"/>
    <w:pPr>
      <w:keepNext/>
    </w:pPr>
    <w:rPr>
      <w:rFonts w:ascii="Arial" w:hAnsi="Arial"/>
      <w:sz w:val="22"/>
      <w:szCs w:val="22"/>
    </w:rPr>
  </w:style>
  <w:style w:type="paragraph" w:styleId="Heading1">
    <w:name w:val="heading 1"/>
    <w:basedOn w:val="BodyText"/>
    <w:next w:val="BodyText"/>
    <w:uiPriority w:val="9"/>
    <w:qFormat/>
    <w:rsid w:val="00A5108B"/>
    <w:pPr>
      <w:numPr>
        <w:numId w:val="2"/>
      </w:numPr>
      <w:spacing w:before="240" w:after="60" w:line="360" w:lineRule="auto"/>
      <w:outlineLvl w:val="0"/>
    </w:pPr>
    <w:rPr>
      <w:rFonts w:cs="Arial"/>
      <w:b/>
      <w:bCs/>
      <w:kern w:val="32"/>
      <w:sz w:val="28"/>
      <w:szCs w:val="32"/>
    </w:rPr>
  </w:style>
  <w:style w:type="paragraph" w:styleId="Heading2">
    <w:name w:val="heading 2"/>
    <w:next w:val="BodyText"/>
    <w:uiPriority w:val="9"/>
    <w:qFormat/>
    <w:rsid w:val="00A5108B"/>
    <w:pPr>
      <w:keepNext/>
      <w:numPr>
        <w:ilvl w:val="1"/>
        <w:numId w:val="2"/>
      </w:numPr>
      <w:spacing w:before="240" w:after="120"/>
      <w:ind w:left="578" w:hanging="578"/>
      <w:outlineLvl w:val="1"/>
    </w:pPr>
    <w:rPr>
      <w:rFonts w:ascii="Arial" w:hAnsi="Arial" w:cs="Arial"/>
      <w:b/>
      <w:bCs/>
      <w:iCs/>
      <w:sz w:val="24"/>
      <w:szCs w:val="28"/>
      <w:lang w:eastAsia="en-US"/>
    </w:rPr>
  </w:style>
  <w:style w:type="paragraph" w:styleId="Heading3">
    <w:name w:val="heading 3"/>
    <w:next w:val="BodyText"/>
    <w:autoRedefine/>
    <w:qFormat/>
    <w:rsid w:val="00EF4A78"/>
    <w:pPr>
      <w:keepNext/>
      <w:numPr>
        <w:ilvl w:val="2"/>
        <w:numId w:val="2"/>
      </w:numPr>
      <w:tabs>
        <w:tab w:val="clear" w:pos="720"/>
        <w:tab w:val="num" w:pos="1980"/>
      </w:tabs>
      <w:spacing w:before="240" w:after="60"/>
      <w:ind w:left="1980" w:hanging="900"/>
      <w:outlineLvl w:val="2"/>
    </w:pPr>
    <w:rPr>
      <w:rFonts w:ascii="Arial" w:hAnsi="Arial"/>
      <w:bCs/>
      <w:sz w:val="24"/>
      <w:szCs w:val="26"/>
      <w:lang w:eastAsia="en-US"/>
    </w:rPr>
  </w:style>
  <w:style w:type="paragraph" w:styleId="Heading4">
    <w:name w:val="heading 4"/>
    <w:basedOn w:val="BodyText"/>
    <w:next w:val="BodyText"/>
    <w:qFormat/>
    <w:rsid w:val="007928FB"/>
    <w:pPr>
      <w:spacing w:before="240" w:after="60" w:line="360" w:lineRule="auto"/>
      <w:outlineLvl w:val="3"/>
    </w:pPr>
    <w:rPr>
      <w:rFonts w:ascii="Tahoma" w:hAnsi="Tahoma"/>
      <w:bCs/>
      <w:szCs w:val="28"/>
      <w:u w:val="single"/>
    </w:rPr>
  </w:style>
  <w:style w:type="paragraph" w:styleId="Heading5">
    <w:name w:val="heading 5"/>
    <w:basedOn w:val="Normal"/>
    <w:next w:val="Normal"/>
    <w:semiHidden/>
    <w:unhideWhenUsed/>
    <w:qFormat/>
    <w:locked/>
    <w:rsid w:val="007928FB"/>
    <w:pPr>
      <w:spacing w:before="240" w:after="60"/>
      <w:outlineLvl w:val="4"/>
    </w:pPr>
    <w:rPr>
      <w:bCs/>
      <w:i/>
      <w:iCs/>
      <w:szCs w:val="26"/>
    </w:rPr>
  </w:style>
  <w:style w:type="paragraph" w:styleId="Heading6">
    <w:name w:val="heading 6"/>
    <w:basedOn w:val="Normal"/>
    <w:next w:val="Normal"/>
    <w:semiHidden/>
    <w:unhideWhenUsed/>
    <w:locked/>
    <w:rsid w:val="007928FB"/>
    <w:pPr>
      <w:numPr>
        <w:ilvl w:val="5"/>
        <w:numId w:val="2"/>
      </w:numPr>
      <w:spacing w:before="240" w:after="60"/>
      <w:outlineLvl w:val="5"/>
    </w:pPr>
    <w:rPr>
      <w:rFonts w:ascii="Times New Roman" w:hAnsi="Times New Roman"/>
      <w:b/>
      <w:bCs/>
    </w:rPr>
  </w:style>
  <w:style w:type="paragraph" w:styleId="Heading7">
    <w:name w:val="heading 7"/>
    <w:basedOn w:val="Normal"/>
    <w:next w:val="Normal"/>
    <w:semiHidden/>
    <w:unhideWhenUsed/>
    <w:locked/>
    <w:rsid w:val="007928FB"/>
    <w:pPr>
      <w:numPr>
        <w:ilvl w:val="6"/>
        <w:numId w:val="2"/>
      </w:numPr>
      <w:spacing w:before="240" w:after="60"/>
      <w:outlineLvl w:val="6"/>
    </w:pPr>
    <w:rPr>
      <w:rFonts w:ascii="Times New Roman" w:hAnsi="Times New Roman"/>
    </w:rPr>
  </w:style>
  <w:style w:type="paragraph" w:styleId="Heading8">
    <w:name w:val="heading 8"/>
    <w:basedOn w:val="Normal"/>
    <w:next w:val="Normal"/>
    <w:semiHidden/>
    <w:unhideWhenUsed/>
    <w:locked/>
    <w:rsid w:val="007928FB"/>
    <w:pPr>
      <w:numPr>
        <w:ilvl w:val="7"/>
        <w:numId w:val="2"/>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DD64BE"/>
    <w:pPr>
      <w:keepNext/>
      <w:keepLines/>
      <w:spacing w:before="120" w:after="120"/>
    </w:pPr>
    <w:rPr>
      <w:rFonts w:ascii="Arial" w:hAnsi="Arial"/>
      <w:sz w:val="22"/>
      <w:szCs w:val="24"/>
      <w:lang w:eastAsia="en-US"/>
    </w:rPr>
  </w:style>
  <w:style w:type="paragraph" w:styleId="Header">
    <w:name w:val="header"/>
    <w:basedOn w:val="BodyText"/>
    <w:link w:val="HeaderChar"/>
    <w:rsid w:val="007928FB"/>
    <w:pPr>
      <w:pBdr>
        <w:bottom w:val="single" w:sz="2" w:space="1" w:color="auto"/>
      </w:pBdr>
      <w:tabs>
        <w:tab w:val="center" w:pos="4253"/>
        <w:tab w:val="right" w:pos="8505"/>
      </w:tabs>
      <w:spacing w:line="360" w:lineRule="auto"/>
    </w:pPr>
    <w:rPr>
      <w:sz w:val="18"/>
      <w:szCs w:val="20"/>
    </w:rPr>
  </w:style>
  <w:style w:type="character" w:customStyle="1" w:styleId="HeaderChar">
    <w:name w:val="Header Char"/>
    <w:link w:val="Header"/>
    <w:rsid w:val="002C5BB5"/>
    <w:rPr>
      <w:rFonts w:ascii="Arial" w:hAnsi="Arial"/>
      <w:sz w:val="18"/>
      <w:lang w:val="en-GB" w:eastAsia="en-US" w:bidi="ar-SA"/>
    </w:rPr>
  </w:style>
  <w:style w:type="paragraph" w:styleId="Footer">
    <w:name w:val="footer"/>
    <w:basedOn w:val="Header"/>
    <w:link w:val="FooterChar"/>
    <w:rsid w:val="003640D1"/>
    <w:pPr>
      <w:pBdr>
        <w:top w:val="single" w:sz="2" w:space="3" w:color="auto"/>
        <w:bottom w:val="none" w:sz="0" w:space="0" w:color="auto"/>
      </w:pBdr>
      <w:spacing w:before="60"/>
    </w:pPr>
  </w:style>
  <w:style w:type="character" w:customStyle="1" w:styleId="FooterChar">
    <w:name w:val="Footer Char"/>
    <w:link w:val="Footer"/>
    <w:rsid w:val="003640D1"/>
    <w:rPr>
      <w:rFonts w:ascii="Arial" w:hAnsi="Arial"/>
      <w:sz w:val="18"/>
      <w:lang w:eastAsia="en-US"/>
    </w:rPr>
  </w:style>
  <w:style w:type="paragraph" w:styleId="ListBullet">
    <w:name w:val="List Bullet"/>
    <w:basedOn w:val="BodyText"/>
    <w:autoRedefine/>
    <w:rsid w:val="00412E3D"/>
    <w:pPr>
      <w:numPr>
        <w:numId w:val="41"/>
      </w:numPr>
      <w:tabs>
        <w:tab w:val="clear" w:pos="720"/>
        <w:tab w:val="num" w:pos="1134"/>
      </w:tabs>
      <w:spacing w:before="60" w:after="60"/>
      <w:ind w:left="1134" w:hanging="567"/>
    </w:pPr>
    <w:rPr>
      <w:szCs w:val="20"/>
    </w:rPr>
  </w:style>
  <w:style w:type="character" w:customStyle="1" w:styleId="Heading3Char">
    <w:name w:val="Heading 3 Char"/>
    <w:rsid w:val="0014776C"/>
    <w:rPr>
      <w:rFonts w:ascii="Arial" w:hAnsi="Arial"/>
      <w:b/>
      <w:bCs/>
      <w:sz w:val="22"/>
      <w:szCs w:val="26"/>
      <w:lang w:val="en-GB" w:eastAsia="en-US" w:bidi="ar-SA"/>
    </w:rPr>
  </w:style>
  <w:style w:type="paragraph" w:styleId="ListNumber">
    <w:name w:val="List Number"/>
    <w:basedOn w:val="BodyText"/>
    <w:semiHidden/>
    <w:unhideWhenUsed/>
    <w:locked/>
    <w:rsid w:val="007928FB"/>
    <w:pPr>
      <w:tabs>
        <w:tab w:val="num" w:pos="360"/>
      </w:tabs>
      <w:spacing w:line="360" w:lineRule="auto"/>
      <w:ind w:left="360" w:hanging="360"/>
    </w:pPr>
    <w:rPr>
      <w:szCs w:val="20"/>
    </w:rPr>
  </w:style>
  <w:style w:type="paragraph" w:styleId="DocumentMap">
    <w:name w:val="Document Map"/>
    <w:basedOn w:val="Normal"/>
    <w:semiHidden/>
    <w:rsid w:val="007928FB"/>
    <w:pPr>
      <w:shd w:val="clear" w:color="auto" w:fill="000080"/>
    </w:pPr>
    <w:rPr>
      <w:rFonts w:ascii="Tahoma" w:hAnsi="Tahoma"/>
      <w:sz w:val="20"/>
      <w:szCs w:val="20"/>
    </w:rPr>
  </w:style>
  <w:style w:type="paragraph" w:styleId="ListBullet2">
    <w:name w:val="List Bullet 2"/>
    <w:basedOn w:val="ListBullet"/>
    <w:rsid w:val="00412E3D"/>
    <w:pPr>
      <w:numPr>
        <w:numId w:val="42"/>
      </w:numPr>
      <w:tabs>
        <w:tab w:val="clear" w:pos="646"/>
        <w:tab w:val="num" w:pos="1560"/>
      </w:tabs>
      <w:ind w:left="1559" w:hanging="425"/>
    </w:pPr>
    <w:rPr>
      <w:i/>
      <w:sz w:val="20"/>
    </w:rPr>
  </w:style>
  <w:style w:type="paragraph" w:styleId="BodyText2">
    <w:name w:val="Body Text 2"/>
    <w:basedOn w:val="BodyText"/>
    <w:rsid w:val="00ED47FE"/>
    <w:pPr>
      <w:ind w:left="567"/>
    </w:pPr>
  </w:style>
  <w:style w:type="table" w:styleId="TableGrid">
    <w:name w:val="Table Grid"/>
    <w:basedOn w:val="TableNormal"/>
    <w:locked/>
    <w:rsid w:val="006C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7928FB"/>
    <w:rPr>
      <w:rFonts w:ascii="Tahoma" w:hAnsi="Tahoma"/>
      <w:sz w:val="16"/>
      <w:szCs w:val="16"/>
    </w:rPr>
  </w:style>
  <w:style w:type="paragraph" w:styleId="ListNumber2">
    <w:name w:val="List Number 2"/>
    <w:basedOn w:val="BodyText"/>
    <w:semiHidden/>
    <w:unhideWhenUsed/>
    <w:locked/>
    <w:rsid w:val="007928FB"/>
  </w:style>
  <w:style w:type="paragraph" w:styleId="ListBullet3">
    <w:name w:val="List Bullet 3"/>
    <w:semiHidden/>
    <w:unhideWhenUsed/>
    <w:locked/>
    <w:rsid w:val="007928FB"/>
    <w:pPr>
      <w:tabs>
        <w:tab w:val="num" w:pos="926"/>
      </w:tabs>
      <w:ind w:left="926" w:hanging="360"/>
    </w:pPr>
    <w:rPr>
      <w:rFonts w:ascii="Arial" w:hAnsi="Arial"/>
      <w:i/>
      <w:szCs w:val="24"/>
      <w:lang w:eastAsia="en-US"/>
    </w:rPr>
  </w:style>
  <w:style w:type="character" w:styleId="Hyperlink">
    <w:name w:val="Hyperlink"/>
    <w:rsid w:val="00DF28C5"/>
    <w:rPr>
      <w:color w:val="0000FF"/>
      <w:u w:val="single"/>
    </w:rPr>
  </w:style>
  <w:style w:type="paragraph" w:customStyle="1" w:styleId="Maintitle">
    <w:name w:val="Main title"/>
    <w:basedOn w:val="Normal"/>
    <w:rsid w:val="009A662E"/>
    <w:pPr>
      <w:jc w:val="center"/>
    </w:pPr>
    <w:rPr>
      <w:b/>
      <w:bCs/>
      <w:sz w:val="52"/>
      <w:szCs w:val="20"/>
    </w:rPr>
  </w:style>
  <w:style w:type="paragraph" w:customStyle="1" w:styleId="Tableheader">
    <w:name w:val="Table header"/>
    <w:rsid w:val="00555565"/>
    <w:pPr>
      <w:keepNext/>
      <w:shd w:val="pct70" w:color="auto" w:fill="auto"/>
      <w:jc w:val="center"/>
    </w:pPr>
    <w:rPr>
      <w:rFonts w:ascii="Arial" w:hAnsi="Arial"/>
      <w:b/>
      <w:bCs/>
      <w:color w:val="FFFFFF"/>
      <w:sz w:val="22"/>
    </w:rPr>
  </w:style>
  <w:style w:type="paragraph" w:customStyle="1" w:styleId="BodyTextnumberedparaL2">
    <w:name w:val="Body Text numbered para L2"/>
    <w:basedOn w:val="Heading2"/>
    <w:qFormat/>
    <w:rsid w:val="00DD64BE"/>
    <w:pPr>
      <w:keepLines/>
      <w:spacing w:before="120"/>
    </w:pPr>
    <w:rPr>
      <w:b w:val="0"/>
      <w:sz w:val="22"/>
    </w:rPr>
  </w:style>
  <w:style w:type="paragraph" w:customStyle="1" w:styleId="BodyTextnumberedparaL3">
    <w:name w:val="Body Text numbered para L3"/>
    <w:basedOn w:val="Heading3"/>
    <w:qFormat/>
    <w:rsid w:val="00ED47FE"/>
    <w:pPr>
      <w:tabs>
        <w:tab w:val="clear" w:pos="1980"/>
        <w:tab w:val="num" w:pos="567"/>
      </w:tabs>
      <w:spacing w:before="120" w:after="120"/>
      <w:ind w:left="567" w:hanging="567"/>
    </w:pPr>
    <w:rPr>
      <w:sz w:val="22"/>
    </w:rPr>
  </w:style>
  <w:style w:type="paragraph" w:styleId="FootnoteText">
    <w:name w:val="footnote text"/>
    <w:basedOn w:val="Normal"/>
    <w:link w:val="FootnoteTextChar"/>
    <w:rsid w:val="00397D6F"/>
    <w:pPr>
      <w:spacing w:after="60"/>
    </w:pPr>
    <w:rPr>
      <w:sz w:val="20"/>
      <w:szCs w:val="20"/>
    </w:rPr>
  </w:style>
  <w:style w:type="character" w:customStyle="1" w:styleId="FootnoteTextChar">
    <w:name w:val="Footnote Text Char"/>
    <w:link w:val="FootnoteText"/>
    <w:rsid w:val="00397D6F"/>
    <w:rPr>
      <w:rFonts w:ascii="Arial" w:hAnsi="Arial"/>
    </w:rPr>
  </w:style>
  <w:style w:type="character" w:styleId="FootnoteReference">
    <w:name w:val="footnote reference"/>
    <w:rsid w:val="00397D6F"/>
    <w:rPr>
      <w:vertAlign w:val="superscript"/>
    </w:rPr>
  </w:style>
  <w:style w:type="paragraph" w:customStyle="1" w:styleId="Appendix">
    <w:name w:val="Appendix"/>
    <w:basedOn w:val="Heading1"/>
    <w:next w:val="BodyText"/>
    <w:qFormat/>
    <w:rsid w:val="00A34911"/>
    <w:pPr>
      <w:numPr>
        <w:numId w:val="0"/>
      </w:numPr>
    </w:pPr>
    <w:rPr>
      <w:sz w:val="26"/>
    </w:rPr>
  </w:style>
  <w:style w:type="paragraph" w:customStyle="1" w:styleId="Caption1">
    <w:name w:val="Caption1"/>
    <w:basedOn w:val="BodyText"/>
    <w:qFormat/>
    <w:rsid w:val="007C7793"/>
    <w:rPr>
      <w:i/>
    </w:rPr>
  </w:style>
  <w:style w:type="paragraph" w:customStyle="1" w:styleId="Tablesubhead">
    <w:name w:val="Table sub head"/>
    <w:basedOn w:val="Tableheader"/>
    <w:qFormat/>
    <w:rsid w:val="00555565"/>
    <w:pPr>
      <w:shd w:val="clear" w:color="auto" w:fill="auto"/>
      <w:jc w:val="left"/>
    </w:pPr>
    <w:rPr>
      <w:color w:val="auto"/>
    </w:rPr>
  </w:style>
  <w:style w:type="paragraph" w:customStyle="1" w:styleId="Tabletext">
    <w:name w:val="Table text"/>
    <w:qFormat/>
    <w:rsid w:val="00555565"/>
    <w:pPr>
      <w:keepNext/>
      <w:spacing w:after="60"/>
    </w:pPr>
    <w:rPr>
      <w:rFonts w:ascii="Arial" w:hAnsi="Arial"/>
      <w:sz w:val="22"/>
      <w:szCs w:val="22"/>
    </w:rPr>
  </w:style>
  <w:style w:type="paragraph" w:customStyle="1" w:styleId="Heading1ruled">
    <w:name w:val="Heading 1 ruled"/>
    <w:basedOn w:val="Heading1"/>
    <w:qFormat/>
    <w:rsid w:val="008D3222"/>
    <w:pPr>
      <w:pBdr>
        <w:top w:val="single" w:sz="4" w:space="12"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1117">
      <w:bodyDiv w:val="1"/>
      <w:marLeft w:val="0"/>
      <w:marRight w:val="0"/>
      <w:marTop w:val="0"/>
      <w:marBottom w:val="0"/>
      <w:divBdr>
        <w:top w:val="none" w:sz="0" w:space="0" w:color="auto"/>
        <w:left w:val="none" w:sz="0" w:space="0" w:color="auto"/>
        <w:bottom w:val="none" w:sz="0" w:space="0" w:color="auto"/>
        <w:right w:val="none" w:sz="0" w:space="0" w:color="auto"/>
      </w:divBdr>
    </w:div>
    <w:div w:id="159807949">
      <w:bodyDiv w:val="1"/>
      <w:marLeft w:val="0"/>
      <w:marRight w:val="0"/>
      <w:marTop w:val="0"/>
      <w:marBottom w:val="0"/>
      <w:divBdr>
        <w:top w:val="none" w:sz="0" w:space="0" w:color="auto"/>
        <w:left w:val="none" w:sz="0" w:space="0" w:color="auto"/>
        <w:bottom w:val="none" w:sz="0" w:space="0" w:color="auto"/>
        <w:right w:val="none" w:sz="0" w:space="0" w:color="auto"/>
      </w:divBdr>
    </w:div>
    <w:div w:id="15826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rasted\Application%20Data\Microsoft\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ffective_x0020_Date xmlns="88b8be57-4c24-4773-98f3-d85eee6c9d53">2018-11-30T00:00:00+00:00</Effective_x0020_Date>
    <Approved_x0020_Date xmlns="88b8be57-4c24-4773-98f3-d85eee6c9d53">2018-12-31T00:00:00+00:00</Approved_x0020_Date>
    <Rationale xmlns="88b8be57-4c24-4773-98f3-d85eee6c9d53">
      <Value>Regulatory requirement</Value>
      <Value>Risk management</Value>
      <Value>Operational plan</Value>
    </Rationale>
    <Other xmlns="88b8be57-4c24-4773-98f3-d85eee6c9d53" xsi:nil="true"/>
    <Document_x0020_Type xmlns="88b8be57-4c24-4773-98f3-d85eee6c9d53">Policy</Document_x0020_Type>
    <Responsible_x0020_Lead xmlns="88b8be57-4c24-4773-98f3-d85eee6c9d53">Director of Operations</Responsible_x0020_Lead>
    <Relevant_x0020_regulatory_x0020_body_x0028_ies_x0029_ xmlns="88b8be57-4c24-4773-98f3-d85eee6c9d53"/>
    <Na_x0020_test xmlns="ef8d09de-2671-4e5e-887c-70706b504860">507</Na_x0020_test>
    <Stakeholder_x0020_Group xmlns="88b8be57-4c24-4773-98f3-d85eee6c9d53">TME</Stakeholder_x0020_Group>
    <Owner xmlns="88b8be57-4c24-4773-98f3-d85eee6c9d53">Chief Operating Officer</Owner>
    <Review_x0020_Date xmlns="88b8be57-4c24-4773-98f3-d85eee6c9d53">2021-11-30T00:00:00+00:00</Review_x0020_Date>
    <live_x0020_status xmlns="88b8be57-4c24-4773-98f3-d85eee6c9d53">Live</live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D7E9FA6A72224F8BD6F4BC8CAFA9AC" ma:contentTypeVersion="4" ma:contentTypeDescription="Create a new document." ma:contentTypeScope="" ma:versionID="27206ba9809c7518d36ec98a7c237ccd">
  <xsd:schema xmlns:xsd="http://www.w3.org/2001/XMLSchema" xmlns:xs="http://www.w3.org/2001/XMLSchema" xmlns:p="http://schemas.microsoft.com/office/2006/metadata/properties" xmlns:ns2="88b8be57-4c24-4773-98f3-d85eee6c9d53" xmlns:ns3="ef8d09de-2671-4e5e-887c-70706b504860" targetNamespace="http://schemas.microsoft.com/office/2006/metadata/properties" ma:root="true" ma:fieldsID="4857f2030d4e3203a933e56c44a052d2" ns2:_="" ns3:_="">
    <xsd:import namespace="88b8be57-4c24-4773-98f3-d85eee6c9d53"/>
    <xsd:import namespace="ef8d09de-2671-4e5e-887c-70706b504860"/>
    <xsd:element name="properties">
      <xsd:complexType>
        <xsd:sequence>
          <xsd:element name="documentManagement">
            <xsd:complexType>
              <xsd:all>
                <xsd:element ref="ns2:Owner"/>
                <xsd:element ref="ns2:Effective_x0020_Date"/>
                <xsd:element ref="ns2:Review_x0020_Date"/>
                <xsd:element ref="ns2:Approved_x0020_Date" minOccurs="0"/>
                <xsd:element ref="ns2:Document_x0020_Type"/>
                <xsd:element ref="ns2:Stakeholder_x0020_Group" minOccurs="0"/>
                <xsd:element ref="ns2:Responsible_x0020_Lead" minOccurs="0"/>
                <xsd:element ref="ns2:live_x0020_status" minOccurs="0"/>
                <xsd:element ref="ns3:Na_x0020_test" minOccurs="0"/>
                <xsd:element ref="ns2:Rationale" minOccurs="0"/>
                <xsd:element ref="ns2:Relevant_x0020_regulatory_x0020_body_x0028_ies_x0029_" minOccurs="0"/>
                <xsd:element ref="ns2:Oth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8be57-4c24-4773-98f3-d85eee6c9d53" elementFormDefault="qualified">
    <xsd:import namespace="http://schemas.microsoft.com/office/2006/documentManagement/types"/>
    <xsd:import namespace="http://schemas.microsoft.com/office/infopath/2007/PartnerControls"/>
    <xsd:element name="Owner" ma:index="1" ma:displayName="Owner" ma:default="Medical Director" ma:format="Dropdown" ma:internalName="Owner">
      <xsd:simpleType>
        <xsd:restriction base="dms:Choice">
          <xsd:enumeration value="Associate Director of Finance"/>
          <xsd:enumeration value="Chair of Clinical Guidance Group"/>
          <xsd:enumeration value="Chief Financial Officer"/>
          <xsd:enumeration value="Chief Medical Officer"/>
          <xsd:enumeration value="Director of Asset Management"/>
          <xsd:enumeration value="Head of Corporate Afairs"/>
          <xsd:enumeration value="Head of Information Security"/>
          <xsd:enumeration value="Commercial Director"/>
          <xsd:enumeration value="Chief Nurse"/>
          <xsd:enumeration value="Chief Operating Officer"/>
          <xsd:enumeration value="Chief People Officer"/>
          <xsd:enumeration value="Director of Operations, Community Services"/>
          <xsd:enumeration value="Director of Communications"/>
          <xsd:enumeration value="Director of Strategy"/>
          <xsd:enumeration value="Director of Workforce"/>
          <xsd:enumeration value="Deputy Director, Assurance and Compliance"/>
          <xsd:enumeration value="Medical Director"/>
          <xsd:enumeration value="Director of Finance"/>
          <xsd:enumeration value="Director of Assurance"/>
          <xsd:enumeration value="Chief Executive Officer"/>
          <xsd:enumeration value="Director of Essentia"/>
          <xsd:enumeration value="Director of Strategy"/>
          <xsd:enumeration value="Senior Information Risk Officer"/>
          <xsd:enumeration value="n/a"/>
        </xsd:restriction>
      </xsd:simpleType>
    </xsd:element>
    <xsd:element name="Effective_x0020_Date" ma:index="3" ma:displayName="Last Reviewed" ma:format="DateOnly" ma:internalName="Effective_x0020_Date" ma:readOnly="false">
      <xsd:simpleType>
        <xsd:restriction base="dms:DateTime"/>
      </xsd:simpleType>
    </xsd:element>
    <xsd:element name="Review_x0020_Date" ma:index="4" ma:displayName="Review Date" ma:format="DateOnly" ma:internalName="Review_x0020_Date" ma:readOnly="false">
      <xsd:simpleType>
        <xsd:restriction base="dms:DateTime"/>
      </xsd:simpleType>
    </xsd:element>
    <xsd:element name="Approved_x0020_Date" ma:index="5" nillable="true" ma:displayName="Last Known Approved Date" ma:format="DateOnly" ma:internalName="Approved_x0020_Date" ma:readOnly="false">
      <xsd:simpleType>
        <xsd:restriction base="dms:DateTime"/>
      </xsd:simpleType>
    </xsd:element>
    <xsd:element name="Document_x0020_Type" ma:index="7" ma:displayName="Document Type" ma:default="Policy" ma:description="choose policy if ...." ma:format="Dropdown" ma:internalName="Document_x0020_Type">
      <xsd:simpleType>
        <xsd:restriction base="dms:Choice">
          <xsd:enumeration value="Policy"/>
          <xsd:enumeration value="Procedure for Policy"/>
          <xsd:enumeration value="Standalone Procedures"/>
          <xsd:enumeration value="Acceptable Use Protocol (AUP)"/>
          <xsd:enumeration value="Other Approved Documents"/>
          <xsd:enumeration value="Form"/>
          <xsd:enumeration value="Template"/>
        </xsd:restriction>
      </xsd:simpleType>
    </xsd:element>
    <xsd:element name="Stakeholder_x0020_Group" ma:index="8" nillable="true" ma:displayName="Stakeholder Group" ma:default="Audit Committee" ma:format="Dropdown" ma:internalName="Stakeholder_x0020_Group">
      <xsd:simpleType>
        <xsd:restriction base="dms:Choice">
          <xsd:enumeration value="Audit Committee"/>
          <xsd:enumeration value="BoD"/>
          <xsd:enumeration value="CCS"/>
          <xsd:enumeration value="Clinical Guidance Group"/>
          <xsd:enumeration value="Commercial Assurance Board"/>
          <xsd:enumeration value="Communications"/>
          <xsd:enumeration value="CRC"/>
          <xsd:enumeration value="Digital Board"/>
          <xsd:enumeration value="Digital Board, Web team, IT dept"/>
          <xsd:enumeration value="Emergency Planning Working Group"/>
          <xsd:enumeration value="EoLC committee"/>
          <xsd:enumeration value="Essentia Group Directors"/>
          <xsd:enumeration value="Essentia Quality Management Group"/>
          <xsd:enumeration value="H&amp;S c'ttee"/>
          <xsd:enumeration value="IGC"/>
          <xsd:enumeration value="IGC, TRaQ"/>
          <xsd:enumeration value="Medical Devices Management Group (MDMG)"/>
          <xsd:enumeration value="Medical Devices Safety Committee (MDSC)"/>
          <xsd:enumeration value="none"/>
          <xsd:enumeration value="PPG"/>
          <xsd:enumeration value="Quality Committee"/>
          <xsd:enumeration value="Reducing Long Stay Board"/>
          <xsd:enumeration value="Research &amp; Development Board"/>
          <xsd:enumeration value="RPSDG"/>
          <xsd:enumeration value="Safeguarding Children Assurance Committee, Quality Committee"/>
          <xsd:enumeration value="SMTDG - Statutory &amp; Mandatory Training Development Group"/>
          <xsd:enumeration value="Trust Quality Improvement &amp; Audit Committee (TQIAC)"/>
          <xsd:enumeration value="Trust Risk &amp; Assurance Committee (TRAC)"/>
          <xsd:enumeration value="TRaQ"/>
          <xsd:enumeration value="TRaQ; Quality Committee"/>
          <xsd:enumeration value="Workforce Committee"/>
          <xsd:enumeration value="TME"/>
          <xsd:enumeration value="Quality Committee; TME"/>
        </xsd:restriction>
      </xsd:simpleType>
    </xsd:element>
    <xsd:element name="Responsible_x0020_Lead" ma:index="9" nillable="true" ma:displayName="Policy Lead" ma:default="Peter Allanson" ma:format="Dropdown" ma:internalName="Responsible_x0020_Lead">
      <xsd:simpleType>
        <xsd:restriction base="dms:Choice">
          <xsd:enumeration value="Anita Knowles"/>
          <xsd:enumeration value="Associate Chief Financial Officer"/>
          <xsd:enumeration value="Bob Horner"/>
          <xsd:enumeration value="Brian Fernandes"/>
          <xsd:enumeration value="Catherine Afolabi"/>
          <xsd:enumeration value="Catherine Afolabi"/>
          <xsd:enumeration value="Chair of CGG"/>
          <xsd:enumeration value="Chair of POCT committee"/>
          <xsd:enumeration value="Chief Accountant"/>
          <xsd:enumeration value="Chief Biomedical Engineer"/>
          <xsd:enumeration value="Chief Procurement Officer"/>
          <xsd:enumeration value="Clare Ratner"/>
          <xsd:enumeration value="David Porter"/>
          <xsd:enumeration value="David Wynne"/>
          <xsd:enumeration value="Dawn Harper"/>
          <xsd:enumeration value="Debbie Saunders"/>
          <xsd:enumeration value="Director of Communications"/>
          <xsd:enumeration value="Director of Health Informatics"/>
          <xsd:enumeration value="Director of Information Governance and Management"/>
          <xsd:enumeration value="Director of Nursing - Adults"/>
          <xsd:enumeration value="Director of Operations"/>
          <xsd:enumeration value="Director of Quality and Assurance"/>
          <xsd:enumeration value="Director of Research &amp; Development"/>
          <xsd:enumeration value="Education, Training &amp; Development Manager"/>
          <xsd:enumeration value="Elizabeth Palmer"/>
          <xsd:enumeration value="Frances Flinter"/>
          <xsd:enumeration value="Fire Safety Manager"/>
          <xsd:enumeration value="Head of Information Governance"/>
          <xsd:enumeration value="Head of IP &amp; Commercial Research"/>
          <xsd:enumeration value="Head of Media and Corporate Communications"/>
          <xsd:enumeration value="Head of Nursing - Discharge"/>
          <xsd:enumeration value="Head of Nursing - Inpatient Services"/>
          <xsd:enumeration value="Head of Site Operations"/>
          <xsd:enumeration value="Head of Space and Property Strategy"/>
          <xsd:enumeration value="Head of Complaints"/>
          <xsd:enumeration value="Head of Elective Assurance"/>
          <xsd:enumeration value="Head of Legal Services"/>
          <xsd:enumeration value="Head of Patient Experience"/>
          <xsd:enumeration value="Head of Security &amp; Site Services"/>
          <xsd:enumeration value="Health &amp; Safety Manager"/>
          <xsd:enumeration value="Hilary Anderson"/>
          <xsd:enumeration value="Hospitaller"/>
          <xsd:enumeration value="Irene Carey"/>
          <xsd:enumeration value="Jayne King"/>
          <xsd:enumeration value="Justin Cuckow"/>
          <xsd:enumeration value="Liz Fairclough"/>
          <xsd:enumeration value="Local Counter Fraud Specialist"/>
          <xsd:enumeration value="Manal Sadik"/>
          <xsd:enumeration value="Natalie Dixon"/>
          <xsd:enumeration value="Nigel Pearson"/>
          <xsd:enumeration value="Peter Allanson"/>
          <xsd:enumeration value="Ray Franklin"/>
          <xsd:enumeration value="Relationship Manager"/>
          <xsd:enumeration value="Rob Godfrey"/>
          <xsd:enumeration value="Sally Brooks"/>
          <xsd:enumeration value="Sarah Allen"/>
          <xsd:enumeration value="Simon Steddon"/>
          <xsd:enumeration value="Steve Jones"/>
          <xsd:enumeration value="Terry Parlett"/>
          <xsd:enumeration value="Tony Hallett"/>
          <xsd:enumeration value="Tony Reeves"/>
          <xsd:enumeration value="Yinka Williams"/>
          <xsd:enumeration value="Patricia Snell"/>
          <xsd:enumeration value="Peter Bennett"/>
          <xsd:enumeration value="Mary Newman"/>
          <xsd:enumeration value="Stephen Wadstein"/>
          <xsd:enumeration value="Andrea Carney"/>
          <xsd:enumeration value="Wendy Doyle"/>
        </xsd:restriction>
      </xsd:simpleType>
    </xsd:element>
    <xsd:element name="live_x0020_status" ma:index="10" nillable="true" ma:displayName="live status" ma:default="Live" ma:description="Shows live and retired status. Retired is pending archival." ma:format="Dropdown" ma:internalName="live_x0020_status">
      <xsd:simpleType>
        <xsd:restriction base="dms:Choice">
          <xsd:enumeration value="Live"/>
          <xsd:enumeration value="Retired"/>
        </xsd:restriction>
      </xsd:simpleType>
    </xsd:element>
    <xsd:element name="Rationale" ma:index="12" nillable="true" ma:displayName="Rationale" ma:internalName="Rationale" ma:readOnly="false" ma:requiredMultiChoice="true">
      <xsd:complexType>
        <xsd:complexContent>
          <xsd:extension base="dms:MultiChoice">
            <xsd:sequence>
              <xsd:element name="Value" maxOccurs="unbounded" minOccurs="0" nillable="true">
                <xsd:simpleType>
                  <xsd:restriction base="dms:Choice">
                    <xsd:enumeration value="Legal obligation"/>
                    <xsd:enumeration value="Regulatory requirement"/>
                    <xsd:enumeration value="National guideline"/>
                    <xsd:enumeration value="Risk management"/>
                    <xsd:enumeration value="Patient safety"/>
                    <xsd:enumeration value="Operational plan"/>
                    <xsd:enumeration value="Trust standard"/>
                    <xsd:enumeration value="Other"/>
                  </xsd:restriction>
                </xsd:simpleType>
              </xsd:element>
            </xsd:sequence>
          </xsd:extension>
        </xsd:complexContent>
      </xsd:complexType>
    </xsd:element>
    <xsd:element name="Relevant_x0020_regulatory_x0020_body_x0028_ies_x0029_" ma:index="13" nillable="true" ma:displayName="Relevant regulatory body(ies)" ma:default="None" ma:description="Only complete if Regulatory Requirement has been selected" ma:internalName="Relevant_x0020_regulatory_x0020_body_x0028_ies_x0029_" ma:readOnly="false">
      <xsd:complexType>
        <xsd:complexContent>
          <xsd:extension base="dms:MultiChoice">
            <xsd:sequence>
              <xsd:element name="Value" maxOccurs="unbounded" minOccurs="0" nillable="true">
                <xsd:simpleType>
                  <xsd:restriction base="dms:Choice">
                    <xsd:enumeration value="None"/>
                    <xsd:enumeration value="Monitor"/>
                    <xsd:enumeration value="CQC"/>
                    <xsd:enumeration value="HSE"/>
                    <xsd:enumeration value="NICE"/>
                    <xsd:enumeration value="NHS England"/>
                    <xsd:enumeration value="Other"/>
                  </xsd:restriction>
                </xsd:simpleType>
              </xsd:element>
            </xsd:sequence>
          </xsd:extension>
        </xsd:complexContent>
      </xsd:complexType>
    </xsd:element>
    <xsd:element name="Other" ma:index="14" nillable="true" ma:displayName="Other" ma:description="Please complete for Relevant regulatory body(ies)" ma:internalName="Oth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d09de-2671-4e5e-887c-70706b504860" elementFormDefault="qualified">
    <xsd:import namespace="http://schemas.microsoft.com/office/2006/documentManagement/types"/>
    <xsd:import namespace="http://schemas.microsoft.com/office/infopath/2007/PartnerControls"/>
    <xsd:element name="Na_x0020_test" ma:index="11" nillable="true" ma:displayName="Related Document" ma:description="Select when a procedure is related to a Policy" ma:list="{88b8be57-4c24-4773-98f3-d85eee6c9d53}" ma:internalName="Na_x0020_test" ma:readOnly="false" ma:showField="Title" ma:web="ef8d09de-2671-4e5e-887c-70706b50486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axOccurs="1" ma:index="6"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CB6807-BAE5-45DB-9296-4DC4F57E304F}">
  <ds:schemaRefs>
    <ds:schemaRef ds:uri="http://schemas.microsoft.com/office/2006/metadata/longProperties"/>
  </ds:schemaRefs>
</ds:datastoreItem>
</file>

<file path=customXml/itemProps2.xml><?xml version="1.0" encoding="utf-8"?>
<ds:datastoreItem xmlns:ds="http://schemas.openxmlformats.org/officeDocument/2006/customXml" ds:itemID="{2E7384A5-956A-4AF6-B9D0-A1EA0157F691}">
  <ds:schemaRefs>
    <ds:schemaRef ds:uri="http://schemas.microsoft.com/sharepoint/v3/contenttype/forms"/>
  </ds:schemaRefs>
</ds:datastoreItem>
</file>

<file path=customXml/itemProps3.xml><?xml version="1.0" encoding="utf-8"?>
<ds:datastoreItem xmlns:ds="http://schemas.openxmlformats.org/officeDocument/2006/customXml" ds:itemID="{1A3D3846-2B10-4403-98D1-014BA39BB655}">
  <ds:schemaRefs>
    <ds:schemaRef ds:uri="http://schemas.microsoft.com/office/2006/metadata/properties"/>
    <ds:schemaRef ds:uri="88b8be57-4c24-4773-98f3-d85eee6c9d53"/>
    <ds:schemaRef ds:uri="ef8d09de-2671-4e5e-887c-70706b504860"/>
  </ds:schemaRefs>
</ds:datastoreItem>
</file>

<file path=customXml/itemProps4.xml><?xml version="1.0" encoding="utf-8"?>
<ds:datastoreItem xmlns:ds="http://schemas.openxmlformats.org/officeDocument/2006/customXml" ds:itemID="{76758BE9-9038-4775-AE13-1E048B61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8be57-4c24-4773-98f3-d85eee6c9d53"/>
    <ds:schemaRef ds:uri="ef8d09de-2671-4e5e-887c-70706b504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408830-61C9-43FA-AE19-DB54BDC9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212</TotalTime>
  <Pages>1</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Quality Impact Assessment policy</vt:lpstr>
    </vt:vector>
  </TitlesOfParts>
  <Company>Guy's &amp; St Thomas' NHS Foundation Trust</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Impact Assessment policy</dc:title>
  <dc:subject/>
  <dc:creator>cbrasted</dc:creator>
  <cp:keywords>QIA; Quality Impact Assessment; CIP; Cost Improvement Plan; Patient Safety; Clinical Effectiveness; Patient Experience</cp:keywords>
  <dc:description/>
  <cp:lastModifiedBy>Brasted Chris</cp:lastModifiedBy>
  <cp:revision>7</cp:revision>
  <cp:lastPrinted>2014-01-02T09:29:00Z</cp:lastPrinted>
  <dcterms:created xsi:type="dcterms:W3CDTF">2018-10-09T16:14:00Z</dcterms:created>
  <dcterms:modified xsi:type="dcterms:W3CDTF">2019-01-02T14:53:00Z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0x0101004AD7E9FA6A72224F8BD6F4BC8CAFA9AC</vt:lpwstr>
  </property>
</Properties>
</file>